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etableauclaire"/>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5"/>
        <w:gridCol w:w="1701"/>
        <w:gridCol w:w="3402"/>
      </w:tblGrid>
      <w:tr w:rsidR="001E28A6" w:rsidRPr="0053128A" w14:paraId="1C60D505" w14:textId="77777777" w:rsidTr="00A51598">
        <w:trPr>
          <w:trHeight w:val="2976"/>
        </w:trPr>
        <w:tc>
          <w:tcPr>
            <w:tcW w:w="5245" w:type="dxa"/>
          </w:tcPr>
          <w:p w14:paraId="1021F5CF" w14:textId="77777777" w:rsidR="001E28A6" w:rsidRPr="0053128A" w:rsidRDefault="001E28A6" w:rsidP="00A51598">
            <w:pPr>
              <w:shd w:val="clear" w:color="auto" w:fill="FFFFFF" w:themeFill="background1"/>
              <w:jc w:val="center"/>
              <w:rPr>
                <w:rFonts w:ascii="Plantagenet Cherokee" w:eastAsia="Times New Roman" w:hAnsi="Plantagenet Cherokee" w:cs="Arial"/>
                <w:bCs/>
                <w:sz w:val="24"/>
                <w:szCs w:val="24"/>
              </w:rPr>
            </w:pPr>
            <w:r w:rsidRPr="0053128A">
              <w:rPr>
                <w:rFonts w:ascii="Plantagenet Cherokee" w:eastAsia="Times New Roman" w:hAnsi="Plantagenet Cherokee" w:cs="Arial"/>
                <w:bCs/>
                <w:sz w:val="24"/>
                <w:szCs w:val="24"/>
              </w:rPr>
              <w:t>MINISTERE DE L’EAU ET DE L’ASSAINISSEMENT</w:t>
            </w:r>
          </w:p>
          <w:p w14:paraId="01DFBCE7" w14:textId="77777777" w:rsidR="001E28A6" w:rsidRPr="0053128A" w:rsidRDefault="001E28A6" w:rsidP="00A51598">
            <w:pPr>
              <w:shd w:val="clear" w:color="auto" w:fill="FFFFFF" w:themeFill="background1"/>
              <w:jc w:val="center"/>
              <w:rPr>
                <w:rFonts w:ascii="Plantagenet Cherokee" w:eastAsia="Times New Roman" w:hAnsi="Plantagenet Cherokee" w:cs="Arial"/>
                <w:sz w:val="24"/>
                <w:szCs w:val="24"/>
              </w:rPr>
            </w:pPr>
            <w:r w:rsidRPr="0053128A">
              <w:rPr>
                <w:rFonts w:ascii="Plantagenet Cherokee" w:eastAsia="Times New Roman" w:hAnsi="Plantagenet Cherokee" w:cs="Arial"/>
                <w:sz w:val="24"/>
                <w:szCs w:val="24"/>
              </w:rPr>
              <w:t>_________</w:t>
            </w:r>
          </w:p>
          <w:p w14:paraId="7F5E8DF4" w14:textId="77777777" w:rsidR="001E28A6" w:rsidRPr="0053128A" w:rsidRDefault="001E28A6" w:rsidP="00A51598">
            <w:pPr>
              <w:shd w:val="clear" w:color="auto" w:fill="FFFFFF" w:themeFill="background1"/>
              <w:tabs>
                <w:tab w:val="center" w:pos="2568"/>
                <w:tab w:val="right" w:pos="5137"/>
              </w:tabs>
              <w:rPr>
                <w:rFonts w:ascii="Plantagenet Cherokee" w:eastAsia="Times New Roman" w:hAnsi="Plantagenet Cherokee" w:cs="Arial"/>
                <w:bCs/>
                <w:sz w:val="24"/>
                <w:szCs w:val="24"/>
              </w:rPr>
            </w:pPr>
            <w:r>
              <w:rPr>
                <w:rFonts w:ascii="Plantagenet Cherokee" w:eastAsia="Times New Roman" w:hAnsi="Plantagenet Cherokee" w:cs="Arial"/>
                <w:bCs/>
                <w:sz w:val="24"/>
                <w:szCs w:val="24"/>
              </w:rPr>
              <w:tab/>
              <w:t>SECRETARIAT GENERAL</w:t>
            </w:r>
            <w:r>
              <w:rPr>
                <w:rFonts w:ascii="Plantagenet Cherokee" w:eastAsia="Times New Roman" w:hAnsi="Plantagenet Cherokee" w:cs="Arial"/>
                <w:bCs/>
                <w:sz w:val="24"/>
                <w:szCs w:val="24"/>
              </w:rPr>
              <w:tab/>
            </w:r>
          </w:p>
          <w:p w14:paraId="6978D801" w14:textId="77777777" w:rsidR="001E28A6" w:rsidRPr="0053128A" w:rsidRDefault="001E28A6" w:rsidP="00A51598">
            <w:pPr>
              <w:shd w:val="clear" w:color="auto" w:fill="FFFFFF" w:themeFill="background1"/>
              <w:jc w:val="center"/>
              <w:rPr>
                <w:rFonts w:ascii="Plantagenet Cherokee" w:eastAsia="Times New Roman" w:hAnsi="Plantagenet Cherokee" w:cs="Arial"/>
                <w:sz w:val="24"/>
                <w:szCs w:val="24"/>
              </w:rPr>
            </w:pPr>
            <w:r w:rsidRPr="0053128A">
              <w:rPr>
                <w:rFonts w:ascii="Plantagenet Cherokee" w:eastAsia="Times New Roman" w:hAnsi="Plantagenet Cherokee" w:cs="Arial"/>
                <w:sz w:val="24"/>
                <w:szCs w:val="24"/>
              </w:rPr>
              <w:t>-------------</w:t>
            </w:r>
          </w:p>
          <w:p w14:paraId="5C0393C6" w14:textId="77777777" w:rsidR="001E28A6" w:rsidRPr="0053128A" w:rsidRDefault="001E28A6" w:rsidP="00A51598">
            <w:pPr>
              <w:shd w:val="clear" w:color="auto" w:fill="FFFFFF" w:themeFill="background1"/>
              <w:jc w:val="center"/>
              <w:rPr>
                <w:rFonts w:ascii="Plantagenet Cherokee" w:eastAsia="Times New Roman" w:hAnsi="Plantagenet Cherokee" w:cs="Arial"/>
                <w:bCs/>
                <w:sz w:val="24"/>
                <w:szCs w:val="24"/>
              </w:rPr>
            </w:pPr>
            <w:r w:rsidRPr="0053128A">
              <w:rPr>
                <w:rFonts w:ascii="Plantagenet Cherokee" w:eastAsia="Times New Roman" w:hAnsi="Plantagenet Cherokee" w:cs="Arial"/>
                <w:bCs/>
                <w:sz w:val="24"/>
                <w:szCs w:val="24"/>
              </w:rPr>
              <w:t>DIRECTION REGIONALE DE</w:t>
            </w:r>
            <w:r>
              <w:rPr>
                <w:rFonts w:ascii="Plantagenet Cherokee" w:eastAsia="Times New Roman" w:hAnsi="Plantagenet Cherokee" w:cs="Arial"/>
                <w:bCs/>
                <w:sz w:val="24"/>
                <w:szCs w:val="24"/>
              </w:rPr>
              <w:t xml:space="preserve"> L’EAU ET DE</w:t>
            </w:r>
            <w:r w:rsidRPr="0053128A">
              <w:rPr>
                <w:rFonts w:ascii="Plantagenet Cherokee" w:eastAsia="Times New Roman" w:hAnsi="Plantagenet Cherokee" w:cs="Arial"/>
                <w:bCs/>
                <w:sz w:val="24"/>
                <w:szCs w:val="24"/>
              </w:rPr>
              <w:t xml:space="preserve"> L’ASSAINISSEMENT </w:t>
            </w:r>
            <w:r>
              <w:rPr>
                <w:rFonts w:ascii="Plantagenet Cherokee" w:eastAsia="Times New Roman" w:hAnsi="Plantagenet Cherokee" w:cs="Arial"/>
                <w:bCs/>
                <w:sz w:val="24"/>
                <w:szCs w:val="24"/>
              </w:rPr>
              <w:t>DE L’EST</w:t>
            </w:r>
          </w:p>
          <w:p w14:paraId="104904F9" w14:textId="77777777" w:rsidR="001E28A6" w:rsidRPr="0053128A" w:rsidRDefault="001E28A6" w:rsidP="00A51598">
            <w:pPr>
              <w:shd w:val="clear" w:color="auto" w:fill="FFFFFF" w:themeFill="background1"/>
              <w:jc w:val="center"/>
              <w:rPr>
                <w:rFonts w:ascii="Plantagenet Cherokee" w:eastAsia="Times New Roman" w:hAnsi="Plantagenet Cherokee" w:cs="Arial"/>
                <w:sz w:val="24"/>
                <w:szCs w:val="24"/>
              </w:rPr>
            </w:pPr>
            <w:r w:rsidRPr="0053128A">
              <w:rPr>
                <w:rFonts w:ascii="Plantagenet Cherokee" w:eastAsia="Times New Roman" w:hAnsi="Plantagenet Cherokee" w:cs="Arial"/>
                <w:sz w:val="24"/>
                <w:szCs w:val="24"/>
              </w:rPr>
              <w:t>-------------</w:t>
            </w:r>
          </w:p>
        </w:tc>
        <w:tc>
          <w:tcPr>
            <w:tcW w:w="1701" w:type="dxa"/>
          </w:tcPr>
          <w:p w14:paraId="5C508977" w14:textId="77777777" w:rsidR="001E28A6" w:rsidRPr="0053128A" w:rsidRDefault="001E28A6" w:rsidP="00A51598">
            <w:pPr>
              <w:shd w:val="clear" w:color="auto" w:fill="FFFFFF" w:themeFill="background1"/>
              <w:spacing w:line="240" w:lineRule="exact"/>
              <w:ind w:left="175" w:firstLine="142"/>
              <w:jc w:val="center"/>
              <w:rPr>
                <w:rFonts w:ascii="Plantagenet Cherokee" w:eastAsia="Times New Roman" w:hAnsi="Plantagenet Cherokee" w:cs="Arial"/>
                <w:sz w:val="24"/>
                <w:szCs w:val="24"/>
                <w:lang w:val="es-ES"/>
              </w:rPr>
            </w:pPr>
            <w:r w:rsidRPr="0053128A">
              <w:rPr>
                <w:rFonts w:ascii="Plantagenet Cherokee" w:eastAsia="Times New Roman" w:hAnsi="Plantagenet Cherokee" w:cs="Arial"/>
                <w:noProof/>
                <w:sz w:val="24"/>
                <w:szCs w:val="24"/>
                <w:lang w:eastAsia="fr-FR"/>
              </w:rPr>
              <w:drawing>
                <wp:anchor distT="0" distB="0" distL="114300" distR="114300" simplePos="0" relativeHeight="251659264" behindDoc="1" locked="0" layoutInCell="1" allowOverlap="1" wp14:anchorId="410546EF" wp14:editId="009F7246">
                  <wp:simplePos x="0" y="0"/>
                  <wp:positionH relativeFrom="column">
                    <wp:posOffset>-169545</wp:posOffset>
                  </wp:positionH>
                  <wp:positionV relativeFrom="paragraph">
                    <wp:posOffset>219074</wp:posOffset>
                  </wp:positionV>
                  <wp:extent cx="981075" cy="121971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5420" cy="122511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2" w:type="dxa"/>
          </w:tcPr>
          <w:p w14:paraId="18B67F3D" w14:textId="77777777" w:rsidR="001E28A6" w:rsidRPr="0053128A" w:rsidRDefault="001E28A6" w:rsidP="001E28A6">
            <w:pPr>
              <w:shd w:val="clear" w:color="auto" w:fill="FFFFFF" w:themeFill="background1"/>
              <w:spacing w:line="240" w:lineRule="exact"/>
              <w:ind w:left="175" w:firstLine="142"/>
              <w:rPr>
                <w:rFonts w:ascii="Plantagenet Cherokee" w:eastAsia="Times New Roman" w:hAnsi="Plantagenet Cherokee" w:cs="Arial"/>
                <w:sz w:val="24"/>
                <w:szCs w:val="24"/>
                <w:lang w:val="es-ES"/>
              </w:rPr>
            </w:pPr>
            <w:r>
              <w:rPr>
                <w:rFonts w:ascii="Plantagenet Cherokee" w:eastAsia="Times New Roman" w:hAnsi="Plantagenet Cherokee" w:cs="Arial"/>
                <w:sz w:val="24"/>
                <w:szCs w:val="24"/>
                <w:lang w:val="es-ES"/>
              </w:rPr>
              <w:t xml:space="preserve">      </w:t>
            </w:r>
            <w:r w:rsidRPr="0053128A">
              <w:rPr>
                <w:rFonts w:ascii="Plantagenet Cherokee" w:eastAsia="Times New Roman" w:hAnsi="Plantagenet Cherokee" w:cs="Arial"/>
                <w:sz w:val="24"/>
                <w:szCs w:val="24"/>
                <w:lang w:val="es-ES"/>
              </w:rPr>
              <w:t>BURKINA FASO</w:t>
            </w:r>
          </w:p>
          <w:p w14:paraId="2C3BF4F1" w14:textId="77777777" w:rsidR="001E28A6" w:rsidRPr="0053128A" w:rsidRDefault="001E28A6" w:rsidP="00A51598">
            <w:pPr>
              <w:shd w:val="clear" w:color="auto" w:fill="FFFFFF" w:themeFill="background1"/>
              <w:spacing w:line="240" w:lineRule="exact"/>
              <w:jc w:val="center"/>
              <w:rPr>
                <w:rFonts w:ascii="Plantagenet Cherokee" w:eastAsia="Times New Roman" w:hAnsi="Plantagenet Cherokee" w:cs="Arial"/>
                <w:sz w:val="24"/>
                <w:szCs w:val="24"/>
                <w:lang w:val="es-ES"/>
              </w:rPr>
            </w:pPr>
            <w:r w:rsidRPr="0053128A">
              <w:rPr>
                <w:rFonts w:ascii="Plantagenet Cherokee" w:eastAsia="Times New Roman" w:hAnsi="Plantagenet Cherokee" w:cs="Arial"/>
                <w:sz w:val="24"/>
                <w:szCs w:val="24"/>
                <w:lang w:val="es-ES"/>
              </w:rPr>
              <w:t>---------</w:t>
            </w:r>
          </w:p>
          <w:p w14:paraId="13309AB8" w14:textId="77777777" w:rsidR="001E28A6" w:rsidRPr="003E7A82" w:rsidRDefault="001E28A6" w:rsidP="00A51598">
            <w:pPr>
              <w:shd w:val="clear" w:color="auto" w:fill="FFFFFF" w:themeFill="background1"/>
              <w:spacing w:line="240" w:lineRule="exact"/>
              <w:jc w:val="center"/>
              <w:rPr>
                <w:rFonts w:eastAsia="Times New Roman" w:cs="Times New Roman"/>
                <w:sz w:val="24"/>
                <w:szCs w:val="24"/>
                <w:lang w:val="es-ES"/>
              </w:rPr>
            </w:pPr>
            <w:r w:rsidRPr="003E7A82">
              <w:rPr>
                <w:rFonts w:eastAsia="Times New Roman" w:cs="Times New Roman"/>
                <w:sz w:val="24"/>
                <w:szCs w:val="24"/>
                <w:lang w:val="es-ES"/>
              </w:rPr>
              <w:t>Unté</w:t>
            </w:r>
            <w:r>
              <w:rPr>
                <w:rFonts w:eastAsia="Times New Roman" w:cs="Times New Roman"/>
                <w:sz w:val="24"/>
                <w:szCs w:val="24"/>
                <w:lang w:val="es-ES"/>
              </w:rPr>
              <w:t xml:space="preserve"> – </w:t>
            </w:r>
            <w:r w:rsidRPr="003E7A82">
              <w:rPr>
                <w:rFonts w:eastAsia="Times New Roman" w:cs="Times New Roman"/>
                <w:sz w:val="24"/>
                <w:szCs w:val="24"/>
                <w:lang w:val="es-ES"/>
              </w:rPr>
              <w:t>Progrès</w:t>
            </w:r>
            <w:r>
              <w:rPr>
                <w:rFonts w:eastAsia="Times New Roman" w:cs="Times New Roman"/>
                <w:sz w:val="24"/>
                <w:szCs w:val="24"/>
                <w:lang w:val="es-ES"/>
              </w:rPr>
              <w:t xml:space="preserve"> </w:t>
            </w:r>
            <w:r w:rsidRPr="003E7A82">
              <w:rPr>
                <w:rFonts w:eastAsia="Times New Roman" w:cs="Times New Roman"/>
                <w:sz w:val="24"/>
                <w:szCs w:val="24"/>
                <w:lang w:val="es-ES"/>
              </w:rPr>
              <w:t>-</w:t>
            </w:r>
            <w:r>
              <w:rPr>
                <w:rFonts w:eastAsia="Times New Roman" w:cs="Times New Roman"/>
                <w:sz w:val="24"/>
                <w:szCs w:val="24"/>
                <w:lang w:val="es-ES"/>
              </w:rPr>
              <w:t xml:space="preserve"> </w:t>
            </w:r>
            <w:r w:rsidRPr="003E7A82">
              <w:rPr>
                <w:rFonts w:eastAsia="Times New Roman" w:cs="Times New Roman"/>
                <w:sz w:val="24"/>
                <w:szCs w:val="24"/>
                <w:lang w:val="es-ES"/>
              </w:rPr>
              <w:t>Justice</w:t>
            </w:r>
          </w:p>
          <w:p w14:paraId="4AAC3E2A" w14:textId="77777777" w:rsidR="001E28A6" w:rsidRPr="0053128A" w:rsidRDefault="001E28A6" w:rsidP="00A51598">
            <w:pPr>
              <w:shd w:val="clear" w:color="auto" w:fill="FFFFFF" w:themeFill="background1"/>
              <w:jc w:val="both"/>
              <w:rPr>
                <w:rFonts w:ascii="Plantagenet Cherokee" w:eastAsia="Times New Roman" w:hAnsi="Plantagenet Cherokee" w:cs="Arial"/>
                <w:sz w:val="24"/>
                <w:szCs w:val="24"/>
                <w:lang w:val="es-ES"/>
              </w:rPr>
            </w:pPr>
            <w:r w:rsidRPr="0053128A">
              <w:rPr>
                <w:rFonts w:ascii="Plantagenet Cherokee" w:eastAsia="Times New Roman" w:hAnsi="Plantagenet Cherokee" w:cs="Arial"/>
                <w:sz w:val="24"/>
                <w:szCs w:val="24"/>
                <w:lang w:val="es-ES"/>
              </w:rPr>
              <w:t xml:space="preserve">              </w:t>
            </w:r>
          </w:p>
          <w:p w14:paraId="4CD9A95F" w14:textId="77777777" w:rsidR="001E28A6" w:rsidRPr="0053128A" w:rsidRDefault="001E28A6" w:rsidP="00A51598">
            <w:pPr>
              <w:shd w:val="clear" w:color="auto" w:fill="FFFFFF" w:themeFill="background1"/>
              <w:jc w:val="both"/>
              <w:rPr>
                <w:rFonts w:ascii="Plantagenet Cherokee" w:eastAsia="Times New Roman" w:hAnsi="Plantagenet Cherokee" w:cs="Arial"/>
                <w:sz w:val="24"/>
                <w:szCs w:val="24"/>
                <w:lang w:val="es-ES"/>
              </w:rPr>
            </w:pPr>
          </w:p>
          <w:p w14:paraId="554392BA" w14:textId="77777777" w:rsidR="001E28A6" w:rsidRPr="0053128A" w:rsidRDefault="001E28A6" w:rsidP="00A51598">
            <w:pPr>
              <w:shd w:val="clear" w:color="auto" w:fill="FFFFFF" w:themeFill="background1"/>
              <w:ind w:left="175"/>
              <w:jc w:val="both"/>
              <w:rPr>
                <w:rFonts w:ascii="Plantagenet Cherokee" w:eastAsia="Times New Roman" w:hAnsi="Plantagenet Cherokee" w:cs="Arial"/>
                <w:sz w:val="24"/>
                <w:szCs w:val="24"/>
              </w:rPr>
            </w:pPr>
          </w:p>
        </w:tc>
      </w:tr>
    </w:tbl>
    <w:p w14:paraId="49D8E66D" w14:textId="2B76BA0F" w:rsidR="001E28A6" w:rsidRDefault="001E28A6">
      <w:r>
        <w:t xml:space="preserve"> </w:t>
      </w:r>
    </w:p>
    <w:p w14:paraId="04CC89A6" w14:textId="35C9619F" w:rsidR="001E28A6" w:rsidRDefault="001E28A6"/>
    <w:p w14:paraId="09B2F312" w14:textId="77777777" w:rsidR="001E28A6" w:rsidRDefault="001E28A6"/>
    <w:p w14:paraId="257609F8" w14:textId="3536ACCE" w:rsidR="001E28A6" w:rsidRDefault="001E28A6" w:rsidP="001E28A6">
      <w:pPr>
        <w:jc w:val="center"/>
        <w:rPr>
          <w:b/>
          <w:sz w:val="40"/>
          <w:szCs w:val="32"/>
        </w:rPr>
      </w:pPr>
      <w:r w:rsidRPr="00FF35C3">
        <w:rPr>
          <w:b/>
          <w:sz w:val="40"/>
          <w:szCs w:val="32"/>
        </w:rPr>
        <w:t>Compte rendu de la rencontre technique du Projet d’Adduction en Eau Potable dans la Région de l’Est</w:t>
      </w:r>
      <w:r w:rsidR="00FF35C3">
        <w:rPr>
          <w:b/>
          <w:sz w:val="40"/>
          <w:szCs w:val="32"/>
        </w:rPr>
        <w:t xml:space="preserve"> (PAEP EST)</w:t>
      </w:r>
    </w:p>
    <w:p w14:paraId="11274D99" w14:textId="77777777" w:rsidR="00FF35C3" w:rsidRDefault="00FF35C3" w:rsidP="001E28A6">
      <w:pPr>
        <w:jc w:val="center"/>
        <w:rPr>
          <w:i/>
          <w:sz w:val="22"/>
          <w:szCs w:val="16"/>
        </w:rPr>
      </w:pPr>
    </w:p>
    <w:p w14:paraId="0D903D25" w14:textId="7F7D9E1A" w:rsidR="00FF35C3" w:rsidRPr="00FF35C3" w:rsidRDefault="00FF35C3" w:rsidP="001E28A6">
      <w:pPr>
        <w:jc w:val="center"/>
        <w:rPr>
          <w:i/>
          <w:sz w:val="22"/>
          <w:szCs w:val="16"/>
        </w:rPr>
      </w:pPr>
      <w:r w:rsidRPr="00FF35C3">
        <w:rPr>
          <w:i/>
          <w:sz w:val="22"/>
          <w:szCs w:val="16"/>
        </w:rPr>
        <w:t>Le vendredi 06 Juillet 2018</w:t>
      </w:r>
    </w:p>
    <w:p w14:paraId="210CB3A0" w14:textId="3123B901" w:rsidR="001E28A6" w:rsidRDefault="001E28A6"/>
    <w:p w14:paraId="427D2F6F" w14:textId="57918785" w:rsidR="001E28A6" w:rsidRDefault="001E28A6"/>
    <w:p w14:paraId="0508DD20" w14:textId="4017C601" w:rsidR="001E28A6" w:rsidRDefault="001E28A6"/>
    <w:p w14:paraId="6B13E2BC" w14:textId="74EE4659" w:rsidR="001E28A6" w:rsidRDefault="001E28A6"/>
    <w:p w14:paraId="740DAE81" w14:textId="4BEC738A" w:rsidR="001E28A6" w:rsidRDefault="001E28A6"/>
    <w:p w14:paraId="49194588" w14:textId="698D486C" w:rsidR="001E28A6" w:rsidRDefault="001E28A6"/>
    <w:p w14:paraId="6C204527" w14:textId="2D09D4EB" w:rsidR="001E28A6" w:rsidRDefault="001E28A6"/>
    <w:p w14:paraId="6D39F6A3" w14:textId="63B7BF0D" w:rsidR="001E28A6" w:rsidRDefault="001E28A6"/>
    <w:p w14:paraId="1B294F09" w14:textId="1AC9C2AC" w:rsidR="001E28A6" w:rsidRDefault="001E28A6"/>
    <w:p w14:paraId="4F87ABD5" w14:textId="22D7F2E8" w:rsidR="001E28A6" w:rsidRDefault="001E28A6" w:rsidP="00FF35C3"/>
    <w:p w14:paraId="78039EC8" w14:textId="77777777" w:rsidR="00960A80" w:rsidRDefault="00960A80" w:rsidP="00FF35C3"/>
    <w:p w14:paraId="518E70AB" w14:textId="5DACDBF9" w:rsidR="001E28A6" w:rsidRPr="00B76ACB" w:rsidRDefault="001E28A6" w:rsidP="00C92786">
      <w:pPr>
        <w:jc w:val="both"/>
        <w:rPr>
          <w:b/>
        </w:rPr>
      </w:pPr>
      <w:r w:rsidRPr="00B76ACB">
        <w:rPr>
          <w:b/>
        </w:rPr>
        <w:lastRenderedPageBreak/>
        <w:t>Introduction</w:t>
      </w:r>
    </w:p>
    <w:p w14:paraId="2C06405E" w14:textId="2A0D3B00" w:rsidR="001E28A6" w:rsidRDefault="004274E5" w:rsidP="00C92786">
      <w:pPr>
        <w:jc w:val="both"/>
      </w:pPr>
      <w:r>
        <w:t>Le 06 juillet 2018, s’est tenue au sein de la Direction Régionale de l’Eau et de l’Assainissement (DREA EST), la première rencontre technique du Projet d’Adduction en Eau Potable dans la région de l’Est (PAEP EST).</w:t>
      </w:r>
    </w:p>
    <w:p w14:paraId="589D355B" w14:textId="6EB90374" w:rsidR="004274E5" w:rsidRDefault="004274E5" w:rsidP="00C92786">
      <w:pPr>
        <w:jc w:val="both"/>
      </w:pPr>
      <w:r>
        <w:t xml:space="preserve">La rencontre a débuté à 09h00 sous la présidence de monsieur le Secrétaire Général du Ministère de l’Eau et de l’Assainissement. </w:t>
      </w:r>
    </w:p>
    <w:p w14:paraId="04F8687E" w14:textId="77777777" w:rsidR="008F5403" w:rsidRDefault="004274E5" w:rsidP="00C92786">
      <w:pPr>
        <w:jc w:val="both"/>
      </w:pPr>
      <w:r>
        <w:t xml:space="preserve">Après avoir souhaité la bienvenue aux participants, le président de session les a </w:t>
      </w:r>
      <w:r w:rsidR="00B76ACB">
        <w:t>remerciés</w:t>
      </w:r>
      <w:r>
        <w:t xml:space="preserve"> pour l</w:t>
      </w:r>
      <w:r w:rsidR="00B76ACB">
        <w:t>’</w:t>
      </w:r>
      <w:r>
        <w:t xml:space="preserve">intérêt accordé </w:t>
      </w:r>
      <w:r w:rsidR="00B76ACB">
        <w:t xml:space="preserve">à la mise en œuvre du projet ; il a également souligné qu’il reste de grands efforts pour relever le taux d’accès dans la région de l’Est, qui est faible soit de 52.8% contre un taux national de </w:t>
      </w:r>
      <w:r w:rsidR="00344857">
        <w:t xml:space="preserve">66.2%, </w:t>
      </w:r>
      <w:r w:rsidR="00B76ACB">
        <w:t>afin de</w:t>
      </w:r>
      <w:r w:rsidR="00344857">
        <w:t xml:space="preserve"> contribuer considérablement à l’accès universel à l’eau potable. C’était une occasion pour le président de séance de remercier l’Agence Française de Développement (AFD) pour sa contribution au financement du projet.</w:t>
      </w:r>
    </w:p>
    <w:p w14:paraId="4AC679F1" w14:textId="06E2D6C0" w:rsidR="004274E5" w:rsidRDefault="008F5403" w:rsidP="00C92786">
      <w:pPr>
        <w:jc w:val="both"/>
      </w:pPr>
      <w:r>
        <w:t>La directrice régionale de l’eau et de l’assainissement a ensuite procédé à la vérification du quorum : 18 présents sur 22</w:t>
      </w:r>
      <w:r w:rsidR="00267E8C">
        <w:t xml:space="preserve"> (voir liste de présence en annexe)</w:t>
      </w:r>
      <w:r w:rsidR="00344857">
        <w:t xml:space="preserve"> </w:t>
      </w:r>
    </w:p>
    <w:p w14:paraId="39470995" w14:textId="70D38D4E" w:rsidR="008F5403" w:rsidRDefault="008F5403" w:rsidP="00C92786">
      <w:pPr>
        <w:jc w:val="both"/>
      </w:pPr>
      <w:r>
        <w:t>Le chronogramme suivant a été adopté pour la suite des travaux :</w:t>
      </w:r>
    </w:p>
    <w:p w14:paraId="7EE0DA40" w14:textId="350B3B8D" w:rsidR="008F5403" w:rsidRPr="00F527C3" w:rsidRDefault="008F5403" w:rsidP="00C92786">
      <w:pPr>
        <w:pStyle w:val="Paragraphedeliste"/>
        <w:numPr>
          <w:ilvl w:val="0"/>
          <w:numId w:val="1"/>
        </w:numPr>
        <w:spacing w:after="0" w:line="240" w:lineRule="auto"/>
        <w:jc w:val="both"/>
        <w:rPr>
          <w:rFonts w:cs="Times New Roman"/>
        </w:rPr>
      </w:pPr>
      <w:r w:rsidRPr="00F527C3">
        <w:rPr>
          <w:rFonts w:cs="Times New Roman"/>
        </w:rPr>
        <w:t>Présentation du rapport d’activités</w:t>
      </w:r>
      <w:r w:rsidR="00267E8C">
        <w:rPr>
          <w:rFonts w:cs="Times New Roman"/>
        </w:rPr>
        <w:t xml:space="preserve"> au 30 Juin 2018</w:t>
      </w:r>
      <w:r w:rsidRPr="00F527C3">
        <w:rPr>
          <w:rFonts w:cs="Times New Roman"/>
        </w:rPr>
        <w:t xml:space="preserve"> suivie d’échanges</w:t>
      </w:r>
    </w:p>
    <w:p w14:paraId="7AAFD160" w14:textId="6D1B5E44" w:rsidR="008F5403" w:rsidRPr="00F527C3" w:rsidRDefault="008F5403" w:rsidP="00C92786">
      <w:pPr>
        <w:pStyle w:val="Paragraphedeliste"/>
        <w:numPr>
          <w:ilvl w:val="0"/>
          <w:numId w:val="1"/>
        </w:numPr>
        <w:spacing w:after="0" w:line="240" w:lineRule="auto"/>
        <w:jc w:val="both"/>
        <w:rPr>
          <w:rFonts w:cs="Times New Roman"/>
        </w:rPr>
      </w:pPr>
      <w:r w:rsidRPr="00F527C3">
        <w:rPr>
          <w:rFonts w:cs="Times New Roman"/>
        </w:rPr>
        <w:t>Présentation du programme d’activités du second semestre 2018 suivie d’échanges</w:t>
      </w:r>
    </w:p>
    <w:p w14:paraId="1C765C8E" w14:textId="2D237501" w:rsidR="008F5403" w:rsidRDefault="008F5403" w:rsidP="00C92786">
      <w:pPr>
        <w:pStyle w:val="Paragraphedeliste"/>
        <w:numPr>
          <w:ilvl w:val="0"/>
          <w:numId w:val="1"/>
        </w:numPr>
        <w:spacing w:after="0" w:line="240" w:lineRule="auto"/>
        <w:jc w:val="both"/>
        <w:rPr>
          <w:rFonts w:cs="Times New Roman"/>
        </w:rPr>
      </w:pPr>
      <w:r w:rsidRPr="00F527C3">
        <w:rPr>
          <w:rFonts w:cs="Times New Roman"/>
        </w:rPr>
        <w:t xml:space="preserve">Divers </w:t>
      </w:r>
    </w:p>
    <w:p w14:paraId="444C6E05" w14:textId="7B89BEC8" w:rsidR="00F527C3" w:rsidRDefault="00F527C3" w:rsidP="00C92786">
      <w:pPr>
        <w:spacing w:after="0" w:line="240" w:lineRule="auto"/>
        <w:jc w:val="both"/>
        <w:rPr>
          <w:rFonts w:cs="Times New Roman"/>
        </w:rPr>
      </w:pPr>
    </w:p>
    <w:p w14:paraId="6E68E65B" w14:textId="09403F01" w:rsidR="00F527C3" w:rsidRDefault="00F527C3" w:rsidP="00C92786">
      <w:pPr>
        <w:spacing w:after="0" w:line="240" w:lineRule="auto"/>
        <w:jc w:val="both"/>
        <w:rPr>
          <w:rFonts w:cs="Times New Roman"/>
        </w:rPr>
      </w:pPr>
    </w:p>
    <w:p w14:paraId="00BDC1DD" w14:textId="0AC2ED1E" w:rsidR="00B03662" w:rsidRDefault="00B03662" w:rsidP="00C92786">
      <w:pPr>
        <w:spacing w:after="0" w:line="240" w:lineRule="auto"/>
        <w:jc w:val="both"/>
        <w:rPr>
          <w:rFonts w:cs="Times New Roman"/>
        </w:rPr>
      </w:pPr>
    </w:p>
    <w:p w14:paraId="730F435B" w14:textId="2B97ECE3" w:rsidR="00B03662" w:rsidRDefault="00B03662" w:rsidP="00C92786">
      <w:pPr>
        <w:spacing w:after="0" w:line="240" w:lineRule="auto"/>
        <w:jc w:val="both"/>
        <w:rPr>
          <w:rFonts w:cs="Times New Roman"/>
        </w:rPr>
      </w:pPr>
    </w:p>
    <w:p w14:paraId="7E679535" w14:textId="66D3FCCD" w:rsidR="00B03662" w:rsidRDefault="00B03662" w:rsidP="00C92786">
      <w:pPr>
        <w:spacing w:after="0" w:line="240" w:lineRule="auto"/>
        <w:jc w:val="both"/>
        <w:rPr>
          <w:rFonts w:cs="Times New Roman"/>
        </w:rPr>
      </w:pPr>
    </w:p>
    <w:p w14:paraId="6D9629B3" w14:textId="34CAA114" w:rsidR="00B03662" w:rsidRDefault="00B03662" w:rsidP="00C92786">
      <w:pPr>
        <w:spacing w:after="0" w:line="240" w:lineRule="auto"/>
        <w:jc w:val="both"/>
        <w:rPr>
          <w:rFonts w:cs="Times New Roman"/>
        </w:rPr>
      </w:pPr>
    </w:p>
    <w:p w14:paraId="5C924937" w14:textId="730FB1B9" w:rsidR="00B03662" w:rsidRDefault="00B03662" w:rsidP="00C92786">
      <w:pPr>
        <w:spacing w:after="0" w:line="240" w:lineRule="auto"/>
        <w:jc w:val="both"/>
        <w:rPr>
          <w:rFonts w:cs="Times New Roman"/>
        </w:rPr>
      </w:pPr>
    </w:p>
    <w:p w14:paraId="3C21F1E1" w14:textId="7D491F53" w:rsidR="00B03662" w:rsidRDefault="00B03662" w:rsidP="00C92786">
      <w:pPr>
        <w:spacing w:after="0" w:line="240" w:lineRule="auto"/>
        <w:jc w:val="both"/>
        <w:rPr>
          <w:rFonts w:cs="Times New Roman"/>
        </w:rPr>
      </w:pPr>
    </w:p>
    <w:p w14:paraId="7943A424" w14:textId="32FCF5FC" w:rsidR="00B03662" w:rsidRDefault="00B03662" w:rsidP="00C92786">
      <w:pPr>
        <w:spacing w:after="0" w:line="240" w:lineRule="auto"/>
        <w:jc w:val="both"/>
        <w:rPr>
          <w:rFonts w:cs="Times New Roman"/>
        </w:rPr>
      </w:pPr>
    </w:p>
    <w:p w14:paraId="2D759698" w14:textId="131F1B17" w:rsidR="00B03662" w:rsidRDefault="00B03662" w:rsidP="00C92786">
      <w:pPr>
        <w:spacing w:after="0" w:line="240" w:lineRule="auto"/>
        <w:jc w:val="both"/>
        <w:rPr>
          <w:rFonts w:cs="Times New Roman"/>
        </w:rPr>
      </w:pPr>
    </w:p>
    <w:p w14:paraId="2B5EFAFA" w14:textId="75CF1671" w:rsidR="00B03662" w:rsidRDefault="00B03662" w:rsidP="00C92786">
      <w:pPr>
        <w:spacing w:after="0" w:line="240" w:lineRule="auto"/>
        <w:jc w:val="both"/>
        <w:rPr>
          <w:rFonts w:cs="Times New Roman"/>
        </w:rPr>
      </w:pPr>
    </w:p>
    <w:p w14:paraId="249CF426" w14:textId="344F1C77" w:rsidR="00B03662" w:rsidRDefault="00B03662" w:rsidP="00C92786">
      <w:pPr>
        <w:spacing w:after="0" w:line="240" w:lineRule="auto"/>
        <w:jc w:val="both"/>
        <w:rPr>
          <w:rFonts w:cs="Times New Roman"/>
        </w:rPr>
      </w:pPr>
    </w:p>
    <w:p w14:paraId="5A03BFB8" w14:textId="5CDEE26A" w:rsidR="00B03662" w:rsidRDefault="00B03662" w:rsidP="00C92786">
      <w:pPr>
        <w:spacing w:after="0" w:line="240" w:lineRule="auto"/>
        <w:jc w:val="both"/>
        <w:rPr>
          <w:rFonts w:cs="Times New Roman"/>
        </w:rPr>
      </w:pPr>
    </w:p>
    <w:p w14:paraId="6DA0DDEA" w14:textId="4F6E38F1" w:rsidR="00B03662" w:rsidRDefault="00B03662" w:rsidP="00C92786">
      <w:pPr>
        <w:spacing w:after="0" w:line="240" w:lineRule="auto"/>
        <w:jc w:val="both"/>
        <w:rPr>
          <w:rFonts w:cs="Times New Roman"/>
        </w:rPr>
      </w:pPr>
    </w:p>
    <w:p w14:paraId="528B54C9" w14:textId="464077B0" w:rsidR="00B03662" w:rsidRDefault="00B03662" w:rsidP="00C92786">
      <w:pPr>
        <w:spacing w:after="0" w:line="240" w:lineRule="auto"/>
        <w:jc w:val="both"/>
        <w:rPr>
          <w:rFonts w:cs="Times New Roman"/>
        </w:rPr>
      </w:pPr>
    </w:p>
    <w:p w14:paraId="323C7E85" w14:textId="55CE7727" w:rsidR="00B03662" w:rsidRDefault="00B03662" w:rsidP="00C92786">
      <w:pPr>
        <w:spacing w:after="0" w:line="240" w:lineRule="auto"/>
        <w:jc w:val="both"/>
        <w:rPr>
          <w:rFonts w:cs="Times New Roman"/>
        </w:rPr>
      </w:pPr>
    </w:p>
    <w:p w14:paraId="6CBDEDE7" w14:textId="4D5CB5D9" w:rsidR="00B03662" w:rsidRDefault="00B03662" w:rsidP="00C92786">
      <w:pPr>
        <w:spacing w:after="0" w:line="240" w:lineRule="auto"/>
        <w:jc w:val="both"/>
        <w:rPr>
          <w:rFonts w:cs="Times New Roman"/>
        </w:rPr>
      </w:pPr>
    </w:p>
    <w:p w14:paraId="78B91447" w14:textId="6F4BEED0" w:rsidR="00B03662" w:rsidRDefault="00B03662" w:rsidP="00C92786">
      <w:pPr>
        <w:spacing w:after="0" w:line="240" w:lineRule="auto"/>
        <w:jc w:val="both"/>
        <w:rPr>
          <w:rFonts w:cs="Times New Roman"/>
        </w:rPr>
      </w:pPr>
    </w:p>
    <w:p w14:paraId="4F1587B0" w14:textId="08035AF6" w:rsidR="00B03662" w:rsidRDefault="00B03662" w:rsidP="00C92786">
      <w:pPr>
        <w:spacing w:after="0" w:line="240" w:lineRule="auto"/>
        <w:jc w:val="both"/>
        <w:rPr>
          <w:rFonts w:cs="Times New Roman"/>
        </w:rPr>
      </w:pPr>
    </w:p>
    <w:p w14:paraId="03C531B0" w14:textId="77777777" w:rsidR="00B03662" w:rsidRDefault="00B03662" w:rsidP="00C92786">
      <w:pPr>
        <w:spacing w:after="0" w:line="240" w:lineRule="auto"/>
        <w:jc w:val="both"/>
        <w:rPr>
          <w:rFonts w:cs="Times New Roman"/>
        </w:rPr>
      </w:pPr>
    </w:p>
    <w:p w14:paraId="209FD170" w14:textId="70D59AA5" w:rsidR="00F527C3" w:rsidRDefault="00BE478C" w:rsidP="00C92786">
      <w:pPr>
        <w:pStyle w:val="Paragraphedeliste"/>
        <w:numPr>
          <w:ilvl w:val="0"/>
          <w:numId w:val="2"/>
        </w:numPr>
        <w:spacing w:after="0" w:line="240" w:lineRule="auto"/>
        <w:jc w:val="both"/>
        <w:rPr>
          <w:rFonts w:cs="Times New Roman"/>
          <w:b/>
        </w:rPr>
      </w:pPr>
      <w:r>
        <w:rPr>
          <w:rFonts w:cs="Times New Roman"/>
          <w:b/>
        </w:rPr>
        <w:lastRenderedPageBreak/>
        <w:t>R</w:t>
      </w:r>
      <w:r w:rsidR="00F527C3" w:rsidRPr="00F527C3">
        <w:rPr>
          <w:rFonts w:cs="Times New Roman"/>
          <w:b/>
        </w:rPr>
        <w:t>apport d</w:t>
      </w:r>
      <w:r>
        <w:rPr>
          <w:rFonts w:cs="Times New Roman"/>
          <w:b/>
        </w:rPr>
        <w:t xml:space="preserve">es </w:t>
      </w:r>
      <w:r w:rsidR="00F527C3" w:rsidRPr="00F527C3">
        <w:rPr>
          <w:rFonts w:cs="Times New Roman"/>
          <w:b/>
        </w:rPr>
        <w:t>activités au 30 Juin</w:t>
      </w:r>
    </w:p>
    <w:p w14:paraId="4D9A95AA" w14:textId="5F2283A5" w:rsidR="00BE478C" w:rsidRDefault="00BE478C" w:rsidP="00C92786">
      <w:pPr>
        <w:spacing w:after="0" w:line="240" w:lineRule="auto"/>
        <w:jc w:val="both"/>
        <w:rPr>
          <w:rFonts w:cs="Times New Roman"/>
          <w:b/>
        </w:rPr>
      </w:pPr>
    </w:p>
    <w:p w14:paraId="4A213186" w14:textId="12D3CCB6" w:rsidR="009F39FA" w:rsidRDefault="009F39FA" w:rsidP="00C92786">
      <w:pPr>
        <w:pStyle w:val="Paragraphedeliste"/>
        <w:numPr>
          <w:ilvl w:val="1"/>
          <w:numId w:val="2"/>
        </w:numPr>
        <w:spacing w:after="0" w:line="240" w:lineRule="auto"/>
        <w:jc w:val="both"/>
        <w:rPr>
          <w:rFonts w:cs="Times New Roman"/>
          <w:b/>
        </w:rPr>
      </w:pPr>
      <w:r>
        <w:rPr>
          <w:rFonts w:cs="Times New Roman"/>
          <w:b/>
        </w:rPr>
        <w:t>Présentation du rapport</w:t>
      </w:r>
    </w:p>
    <w:p w14:paraId="0AD04D9D" w14:textId="77777777" w:rsidR="004B3DB9" w:rsidRDefault="004B3DB9" w:rsidP="00C92786">
      <w:pPr>
        <w:spacing w:after="0"/>
        <w:jc w:val="both"/>
        <w:rPr>
          <w:rFonts w:cs="Times New Roman"/>
        </w:rPr>
      </w:pPr>
    </w:p>
    <w:p w14:paraId="62612374" w14:textId="2ED7098C" w:rsidR="009F39FA" w:rsidRDefault="004B3DB9" w:rsidP="00C92786">
      <w:pPr>
        <w:spacing w:after="0"/>
        <w:jc w:val="both"/>
        <w:rPr>
          <w:rFonts w:cs="Times New Roman"/>
        </w:rPr>
      </w:pPr>
      <w:r>
        <w:rPr>
          <w:rFonts w:cs="Times New Roman"/>
        </w:rPr>
        <w:t xml:space="preserve">Après avoir rappelé les objectifs du projet et ses différents mécanismes de mise en œuvre, madame la Directrice Régionale de l’eau et de l’assainissement, coordinatrice du projet, a présenté succinctement le bilan physique et financier. </w:t>
      </w:r>
    </w:p>
    <w:p w14:paraId="0A960B3E" w14:textId="3AC5A2A6" w:rsidR="004B3DB9" w:rsidRDefault="004B3DB9" w:rsidP="00C92786">
      <w:pPr>
        <w:spacing w:after="0"/>
        <w:jc w:val="both"/>
        <w:rPr>
          <w:rFonts w:cs="Times New Roman"/>
        </w:rPr>
      </w:pPr>
    </w:p>
    <w:p w14:paraId="4AFD86CF" w14:textId="71E48376" w:rsidR="002F01D3" w:rsidRDefault="002F01D3" w:rsidP="00C92786">
      <w:pPr>
        <w:spacing w:after="0"/>
        <w:jc w:val="both"/>
        <w:rPr>
          <w:rFonts w:cs="Times New Roman"/>
          <w:u w:val="single"/>
        </w:rPr>
      </w:pPr>
      <w:r w:rsidRPr="001926A2">
        <w:rPr>
          <w:rFonts w:cs="Times New Roman"/>
          <w:u w:val="single"/>
        </w:rPr>
        <w:t>Bilan physique</w:t>
      </w:r>
    </w:p>
    <w:p w14:paraId="66944BFD" w14:textId="350EC4EC" w:rsidR="00DF1241" w:rsidRPr="00DF1241" w:rsidRDefault="00DF1241" w:rsidP="00C92786">
      <w:pPr>
        <w:spacing w:after="0"/>
        <w:jc w:val="both"/>
        <w:rPr>
          <w:rFonts w:cs="Times New Roman"/>
        </w:rPr>
      </w:pPr>
      <w:r>
        <w:rPr>
          <w:rFonts w:cs="Times New Roman"/>
        </w:rPr>
        <w:t>On peut noter entre autres :</w:t>
      </w:r>
    </w:p>
    <w:p w14:paraId="6FB06A5E" w14:textId="41817B5A" w:rsidR="002F01D3" w:rsidRDefault="002F01D3" w:rsidP="00C92786">
      <w:pPr>
        <w:pStyle w:val="Paragraphedeliste"/>
        <w:numPr>
          <w:ilvl w:val="0"/>
          <w:numId w:val="3"/>
        </w:numPr>
        <w:spacing w:after="0"/>
        <w:jc w:val="both"/>
        <w:rPr>
          <w:rFonts w:cs="Times New Roman"/>
        </w:rPr>
      </w:pPr>
      <w:r>
        <w:rPr>
          <w:rFonts w:cs="Times New Roman"/>
        </w:rPr>
        <w:t>Signature de la convention de financement le 05 Novembre 2016</w:t>
      </w:r>
    </w:p>
    <w:p w14:paraId="1F65F3A1" w14:textId="27A1C458" w:rsidR="002F01D3" w:rsidRDefault="002F01D3" w:rsidP="00C92786">
      <w:pPr>
        <w:pStyle w:val="Paragraphedeliste"/>
        <w:numPr>
          <w:ilvl w:val="0"/>
          <w:numId w:val="3"/>
        </w:numPr>
        <w:spacing w:after="0"/>
        <w:jc w:val="both"/>
        <w:rPr>
          <w:rFonts w:cs="Times New Roman"/>
        </w:rPr>
      </w:pPr>
      <w:r>
        <w:rPr>
          <w:rFonts w:cs="Times New Roman"/>
        </w:rPr>
        <w:t>Recrutement et mobilisation de l’assistance technique, de la maîtrise d’ouvrage délégué et des entreprises de travaux</w:t>
      </w:r>
    </w:p>
    <w:p w14:paraId="236C3950" w14:textId="3D8F734A" w:rsidR="002F01D3" w:rsidRDefault="00B71A3B" w:rsidP="00C92786">
      <w:pPr>
        <w:pStyle w:val="Paragraphedeliste"/>
        <w:numPr>
          <w:ilvl w:val="0"/>
          <w:numId w:val="3"/>
        </w:numPr>
        <w:spacing w:after="0"/>
        <w:jc w:val="both"/>
        <w:rPr>
          <w:rFonts w:cs="Times New Roman"/>
        </w:rPr>
      </w:pPr>
      <w:r>
        <w:rPr>
          <w:rFonts w:cs="Times New Roman"/>
        </w:rPr>
        <w:t>L’a</w:t>
      </w:r>
      <w:r w:rsidR="002F01D3">
        <w:rPr>
          <w:rFonts w:cs="Times New Roman"/>
        </w:rPr>
        <w:t>telier de démarrage</w:t>
      </w:r>
      <w:r>
        <w:rPr>
          <w:rFonts w:cs="Times New Roman"/>
        </w:rPr>
        <w:t xml:space="preserve"> régional</w:t>
      </w:r>
      <w:r w:rsidR="002F01D3">
        <w:rPr>
          <w:rFonts w:cs="Times New Roman"/>
        </w:rPr>
        <w:t xml:space="preserve"> et </w:t>
      </w:r>
      <w:r>
        <w:rPr>
          <w:rFonts w:cs="Times New Roman"/>
        </w:rPr>
        <w:t>les ateliers d’</w:t>
      </w:r>
      <w:r w:rsidR="002F01D3">
        <w:rPr>
          <w:rFonts w:cs="Times New Roman"/>
        </w:rPr>
        <w:t xml:space="preserve">informations </w:t>
      </w:r>
      <w:r>
        <w:rPr>
          <w:rFonts w:cs="Times New Roman"/>
        </w:rPr>
        <w:t>provinciaux</w:t>
      </w:r>
    </w:p>
    <w:p w14:paraId="1D7EA669" w14:textId="1EC2BA7A" w:rsidR="002F01D3" w:rsidRDefault="002F01D3" w:rsidP="00C92786">
      <w:pPr>
        <w:pStyle w:val="Paragraphedeliste"/>
        <w:numPr>
          <w:ilvl w:val="0"/>
          <w:numId w:val="3"/>
        </w:numPr>
        <w:spacing w:after="0"/>
        <w:jc w:val="both"/>
        <w:rPr>
          <w:rFonts w:cs="Times New Roman"/>
        </w:rPr>
      </w:pPr>
      <w:r>
        <w:rPr>
          <w:rFonts w:cs="Times New Roman"/>
        </w:rPr>
        <w:t xml:space="preserve">Diagnostic des centres AEPS et identification des sites des travaux : 09 communes identifiés pour les forages PMH, </w:t>
      </w:r>
      <w:r w:rsidRPr="002F01D3">
        <w:rPr>
          <w:rFonts w:cs="Times New Roman"/>
        </w:rPr>
        <w:t>diagnostic sur 34 centres pour AEPS neuves et 41 centres pour AEPS à renforcer</w:t>
      </w:r>
    </w:p>
    <w:p w14:paraId="03F63AAA" w14:textId="607202E0" w:rsidR="002F01D3" w:rsidRDefault="002F01D3" w:rsidP="00C92786">
      <w:pPr>
        <w:pStyle w:val="Paragraphedeliste"/>
        <w:numPr>
          <w:ilvl w:val="0"/>
          <w:numId w:val="3"/>
        </w:numPr>
        <w:spacing w:after="0"/>
        <w:jc w:val="both"/>
        <w:rPr>
          <w:rFonts w:cs="Times New Roman"/>
        </w:rPr>
      </w:pPr>
      <w:r>
        <w:rPr>
          <w:rFonts w:cs="Times New Roman"/>
        </w:rPr>
        <w:t xml:space="preserve"> Début des implantations géophysiques</w:t>
      </w:r>
    </w:p>
    <w:p w14:paraId="10E527D8" w14:textId="350CDC27" w:rsidR="002F01D3" w:rsidRDefault="002F01D3" w:rsidP="00C92786">
      <w:pPr>
        <w:pStyle w:val="Paragraphedeliste"/>
        <w:numPr>
          <w:ilvl w:val="0"/>
          <w:numId w:val="3"/>
        </w:numPr>
        <w:spacing w:after="0"/>
        <w:jc w:val="both"/>
        <w:rPr>
          <w:rFonts w:cs="Times New Roman"/>
        </w:rPr>
      </w:pPr>
      <w:r>
        <w:rPr>
          <w:rFonts w:cs="Times New Roman"/>
        </w:rPr>
        <w:t>Formation des agents de la DREA : diagnostic des AEPS, passation des marchés,</w:t>
      </w:r>
      <w:r w:rsidR="001926A2">
        <w:rPr>
          <w:rFonts w:cs="Times New Roman"/>
        </w:rPr>
        <w:t xml:space="preserve"> contrôle des forages</w:t>
      </w:r>
    </w:p>
    <w:p w14:paraId="49668F3F" w14:textId="12A55C12" w:rsidR="001926A2" w:rsidRDefault="001926A2" w:rsidP="00C92786">
      <w:pPr>
        <w:pStyle w:val="Paragraphedeliste"/>
        <w:numPr>
          <w:ilvl w:val="0"/>
          <w:numId w:val="3"/>
        </w:numPr>
        <w:spacing w:after="0"/>
        <w:jc w:val="both"/>
        <w:rPr>
          <w:rFonts w:cs="Times New Roman"/>
        </w:rPr>
      </w:pPr>
      <w:r>
        <w:rPr>
          <w:rFonts w:cs="Times New Roman"/>
        </w:rPr>
        <w:t>Au niveau pilotage : des réunions hebdomadaires (17 à ce jour) et mensuelles (02 à ce jour) ont été instaurées</w:t>
      </w:r>
    </w:p>
    <w:p w14:paraId="6CC9C9D8" w14:textId="310AD12C" w:rsidR="00DF1241" w:rsidRDefault="00DF1241" w:rsidP="00C92786">
      <w:pPr>
        <w:spacing w:after="0"/>
        <w:jc w:val="both"/>
        <w:rPr>
          <w:rFonts w:cs="Times New Roman"/>
        </w:rPr>
      </w:pPr>
    </w:p>
    <w:p w14:paraId="07074607" w14:textId="63CB2271" w:rsidR="00DF1241" w:rsidRDefault="00DF1241" w:rsidP="00C92786">
      <w:pPr>
        <w:spacing w:after="0"/>
        <w:jc w:val="both"/>
        <w:rPr>
          <w:rFonts w:cs="Times New Roman"/>
          <w:u w:val="single"/>
        </w:rPr>
      </w:pPr>
      <w:r w:rsidRPr="00DF1241">
        <w:rPr>
          <w:rFonts w:cs="Times New Roman"/>
          <w:u w:val="single"/>
        </w:rPr>
        <w:t>Bilan financier</w:t>
      </w:r>
    </w:p>
    <w:p w14:paraId="02F52B36" w14:textId="6AA021F5" w:rsidR="00DF1241" w:rsidRDefault="00DF1241" w:rsidP="00C92786">
      <w:pPr>
        <w:spacing w:after="0"/>
        <w:jc w:val="both"/>
        <w:rPr>
          <w:rFonts w:cs="Times New Roman"/>
        </w:rPr>
      </w:pPr>
      <w:r>
        <w:rPr>
          <w:rFonts w:cs="Times New Roman"/>
        </w:rPr>
        <w:t>Le total des engagements à ce jour est de 31% de la subvention :</w:t>
      </w:r>
    </w:p>
    <w:p w14:paraId="1C43AD64" w14:textId="2BEC28F1" w:rsidR="00DF1241" w:rsidRDefault="00DF1241" w:rsidP="00C92786">
      <w:pPr>
        <w:pStyle w:val="Paragraphedeliste"/>
        <w:numPr>
          <w:ilvl w:val="0"/>
          <w:numId w:val="4"/>
        </w:numPr>
        <w:spacing w:after="0"/>
        <w:jc w:val="both"/>
        <w:rPr>
          <w:rFonts w:cs="Times New Roman"/>
        </w:rPr>
      </w:pPr>
      <w:r>
        <w:rPr>
          <w:rFonts w:cs="Times New Roman"/>
        </w:rPr>
        <w:t>Les engagements au niveau des prestations intellectuelles s’élèvent à 94.3%</w:t>
      </w:r>
    </w:p>
    <w:p w14:paraId="1DEB7F3E" w14:textId="62389D76" w:rsidR="00DF1241" w:rsidRDefault="00DF1241" w:rsidP="00C92786">
      <w:pPr>
        <w:pStyle w:val="Paragraphedeliste"/>
        <w:numPr>
          <w:ilvl w:val="0"/>
          <w:numId w:val="4"/>
        </w:numPr>
        <w:spacing w:after="0"/>
        <w:jc w:val="both"/>
        <w:rPr>
          <w:rFonts w:cs="Times New Roman"/>
        </w:rPr>
      </w:pPr>
      <w:r>
        <w:rPr>
          <w:rFonts w:cs="Times New Roman"/>
        </w:rPr>
        <w:t>Engagement de la ligne 1 forage : 66.7% du budget prévisionnel</w:t>
      </w:r>
    </w:p>
    <w:p w14:paraId="30FD9CA6" w14:textId="0E244C2A" w:rsidR="00DF1241" w:rsidRDefault="00DF1241" w:rsidP="00C92786">
      <w:pPr>
        <w:pStyle w:val="Paragraphedeliste"/>
        <w:numPr>
          <w:ilvl w:val="0"/>
          <w:numId w:val="4"/>
        </w:numPr>
        <w:spacing w:after="0"/>
        <w:jc w:val="both"/>
        <w:rPr>
          <w:rFonts w:cs="Times New Roman"/>
        </w:rPr>
      </w:pPr>
      <w:r>
        <w:rPr>
          <w:rFonts w:cs="Times New Roman"/>
        </w:rPr>
        <w:t>Taux de décaissement global de la subvention : 6.3%</w:t>
      </w:r>
    </w:p>
    <w:p w14:paraId="218AAF57" w14:textId="64574817" w:rsidR="00A9321C" w:rsidRPr="00A9321C" w:rsidRDefault="00A9321C" w:rsidP="00C92786">
      <w:pPr>
        <w:spacing w:after="0"/>
        <w:jc w:val="both"/>
        <w:rPr>
          <w:rFonts w:cs="Times New Roman"/>
        </w:rPr>
      </w:pPr>
      <w:r>
        <w:rPr>
          <w:rFonts w:cs="Times New Roman"/>
        </w:rPr>
        <w:t>La contribution des bénéficiaires s’élève 5.26% (par rapport à la prévision) et correspond la contribution de 23 villages.</w:t>
      </w:r>
    </w:p>
    <w:p w14:paraId="582D7AC1" w14:textId="1A9B9F05" w:rsidR="00DF1241" w:rsidRDefault="00DF1241" w:rsidP="00C92786">
      <w:pPr>
        <w:spacing w:after="0"/>
        <w:jc w:val="both"/>
        <w:rPr>
          <w:rFonts w:cs="Times New Roman"/>
        </w:rPr>
      </w:pPr>
    </w:p>
    <w:p w14:paraId="5F30395D" w14:textId="04B6BE9D" w:rsidR="00B151FA" w:rsidRPr="0092432A" w:rsidRDefault="0092432A" w:rsidP="00C92786">
      <w:pPr>
        <w:spacing w:after="0"/>
        <w:jc w:val="both"/>
        <w:rPr>
          <w:rFonts w:cs="Times New Roman"/>
          <w:u w:val="single"/>
        </w:rPr>
      </w:pPr>
      <w:r w:rsidRPr="0092432A">
        <w:rPr>
          <w:rFonts w:cs="Times New Roman"/>
          <w:u w:val="single"/>
        </w:rPr>
        <w:t>Difficultés et contraintes</w:t>
      </w:r>
    </w:p>
    <w:p w14:paraId="6DCCF11B" w14:textId="1D40E31A" w:rsidR="00750DAB" w:rsidRPr="00D844F3" w:rsidRDefault="00FF35C3" w:rsidP="00C92786">
      <w:pPr>
        <w:numPr>
          <w:ilvl w:val="0"/>
          <w:numId w:val="5"/>
        </w:numPr>
        <w:spacing w:after="0"/>
        <w:jc w:val="both"/>
        <w:rPr>
          <w:rFonts w:cs="Times New Roman"/>
        </w:rPr>
      </w:pPr>
      <w:r w:rsidRPr="00D844F3">
        <w:rPr>
          <w:rFonts w:cs="Times New Roman"/>
        </w:rPr>
        <w:t xml:space="preserve">Taux de </w:t>
      </w:r>
      <w:r w:rsidR="00D844F3">
        <w:rPr>
          <w:rFonts w:cs="Times New Roman"/>
        </w:rPr>
        <w:t xml:space="preserve">forages </w:t>
      </w:r>
      <w:r w:rsidRPr="00D844F3">
        <w:rPr>
          <w:rFonts w:cs="Times New Roman"/>
        </w:rPr>
        <w:t>négatif</w:t>
      </w:r>
      <w:r w:rsidR="00D844F3">
        <w:rPr>
          <w:rFonts w:cs="Times New Roman"/>
        </w:rPr>
        <w:t>s</w:t>
      </w:r>
      <w:r w:rsidRPr="00D844F3">
        <w:rPr>
          <w:rFonts w:cs="Times New Roman"/>
        </w:rPr>
        <w:t xml:space="preserve"> déjà élevé au niveau des forages pour AEPS</w:t>
      </w:r>
    </w:p>
    <w:p w14:paraId="6A4A8B12" w14:textId="263DB733" w:rsidR="00750DAB" w:rsidRPr="00D844F3" w:rsidRDefault="00FF35C3" w:rsidP="00C92786">
      <w:pPr>
        <w:numPr>
          <w:ilvl w:val="0"/>
          <w:numId w:val="5"/>
        </w:numPr>
        <w:spacing w:after="0"/>
        <w:jc w:val="both"/>
        <w:rPr>
          <w:rFonts w:cs="Times New Roman"/>
        </w:rPr>
      </w:pPr>
      <w:r w:rsidRPr="00D844F3">
        <w:rPr>
          <w:rFonts w:cs="Times New Roman"/>
        </w:rPr>
        <w:t xml:space="preserve">Pour les AEP multi villages : </w:t>
      </w:r>
      <w:r w:rsidR="00B71A3B">
        <w:rPr>
          <w:rFonts w:cs="Times New Roman"/>
        </w:rPr>
        <w:t>deux (0</w:t>
      </w:r>
      <w:r w:rsidRPr="00D844F3">
        <w:rPr>
          <w:rFonts w:cs="Times New Roman"/>
        </w:rPr>
        <w:t>2</w:t>
      </w:r>
      <w:r w:rsidR="00B71A3B">
        <w:rPr>
          <w:rFonts w:cs="Times New Roman"/>
        </w:rPr>
        <w:t>)</w:t>
      </w:r>
      <w:r w:rsidRPr="00D844F3">
        <w:rPr>
          <w:rFonts w:cs="Times New Roman"/>
        </w:rPr>
        <w:t xml:space="preserve"> cas de conflits ont déjà été relevé</w:t>
      </w:r>
      <w:r w:rsidR="00D844F3">
        <w:rPr>
          <w:rFonts w:cs="Times New Roman"/>
        </w:rPr>
        <w:t>s</w:t>
      </w:r>
      <w:r w:rsidRPr="00D844F3">
        <w:rPr>
          <w:rFonts w:cs="Times New Roman"/>
        </w:rPr>
        <w:t>. Il s’agit de AEP MV (Kogodou (Bilanga) et Diabatou</w:t>
      </w:r>
      <w:r w:rsidR="00D844F3">
        <w:rPr>
          <w:rFonts w:cs="Times New Roman"/>
        </w:rPr>
        <w:t xml:space="preserve"> </w:t>
      </w:r>
      <w:r w:rsidRPr="00D844F3">
        <w:rPr>
          <w:rFonts w:cs="Times New Roman"/>
        </w:rPr>
        <w:t>(Piela)</w:t>
      </w:r>
      <w:r w:rsidR="00D844F3">
        <w:rPr>
          <w:rFonts w:cs="Times New Roman"/>
        </w:rPr>
        <w:t>)</w:t>
      </w:r>
      <w:r w:rsidRPr="00D844F3">
        <w:rPr>
          <w:rFonts w:cs="Times New Roman"/>
        </w:rPr>
        <w:t xml:space="preserve"> et AEP MV (Bandikidini (Gayeri) et Diapoadougou (Bilanga))</w:t>
      </w:r>
    </w:p>
    <w:p w14:paraId="48C631E4" w14:textId="77777777" w:rsidR="00750DAB" w:rsidRPr="00D844F3" w:rsidRDefault="00FF35C3" w:rsidP="00C92786">
      <w:pPr>
        <w:numPr>
          <w:ilvl w:val="0"/>
          <w:numId w:val="5"/>
        </w:numPr>
        <w:spacing w:after="0"/>
        <w:jc w:val="both"/>
        <w:rPr>
          <w:rFonts w:cs="Times New Roman"/>
        </w:rPr>
      </w:pPr>
      <w:r w:rsidRPr="00D844F3">
        <w:rPr>
          <w:rFonts w:cs="Times New Roman"/>
        </w:rPr>
        <w:t>Marché de construction – exploitation « pré-qualification ou non »</w:t>
      </w:r>
    </w:p>
    <w:p w14:paraId="7674D76F" w14:textId="77777777" w:rsidR="00750DAB" w:rsidRPr="00D844F3" w:rsidRDefault="00FF35C3" w:rsidP="00C92786">
      <w:pPr>
        <w:numPr>
          <w:ilvl w:val="0"/>
          <w:numId w:val="5"/>
        </w:numPr>
        <w:spacing w:after="0"/>
        <w:jc w:val="both"/>
        <w:rPr>
          <w:rFonts w:cs="Times New Roman"/>
        </w:rPr>
      </w:pPr>
      <w:r w:rsidRPr="00D844F3">
        <w:rPr>
          <w:rFonts w:cs="Times New Roman"/>
        </w:rPr>
        <w:t xml:space="preserve">Gestion de la contribution des bénéficiaires </w:t>
      </w:r>
    </w:p>
    <w:p w14:paraId="71BB48E6" w14:textId="3F0FE7C2" w:rsidR="0092432A" w:rsidRDefault="0092432A" w:rsidP="00C92786">
      <w:pPr>
        <w:spacing w:after="0"/>
        <w:jc w:val="both"/>
        <w:rPr>
          <w:rFonts w:cs="Times New Roman"/>
        </w:rPr>
      </w:pPr>
    </w:p>
    <w:p w14:paraId="603AC781" w14:textId="77777777" w:rsidR="00B03662" w:rsidRDefault="00B03662" w:rsidP="00C92786">
      <w:pPr>
        <w:spacing w:after="0"/>
        <w:jc w:val="both"/>
        <w:rPr>
          <w:rFonts w:cs="Times New Roman"/>
        </w:rPr>
      </w:pPr>
    </w:p>
    <w:p w14:paraId="08B6B4B9" w14:textId="3F18A915" w:rsidR="00CE357B" w:rsidRDefault="00CE357B" w:rsidP="00C92786">
      <w:pPr>
        <w:pStyle w:val="Paragraphedeliste"/>
        <w:numPr>
          <w:ilvl w:val="1"/>
          <w:numId w:val="2"/>
        </w:numPr>
        <w:spacing w:after="0"/>
        <w:jc w:val="both"/>
        <w:rPr>
          <w:rFonts w:cs="Times New Roman"/>
          <w:b/>
        </w:rPr>
      </w:pPr>
      <w:r w:rsidRPr="00CE357B">
        <w:rPr>
          <w:rFonts w:cs="Times New Roman"/>
          <w:b/>
        </w:rPr>
        <w:lastRenderedPageBreak/>
        <w:t xml:space="preserve">Echanges </w:t>
      </w:r>
    </w:p>
    <w:p w14:paraId="301B69CA" w14:textId="77777777" w:rsidR="00446276" w:rsidRPr="00446276" w:rsidRDefault="00446276" w:rsidP="00C92786">
      <w:pPr>
        <w:spacing w:after="0"/>
        <w:ind w:left="360"/>
        <w:jc w:val="both"/>
        <w:rPr>
          <w:rFonts w:cs="Times New Roman"/>
          <w:b/>
        </w:rPr>
      </w:pPr>
    </w:p>
    <w:p w14:paraId="1872BABE" w14:textId="32810E39" w:rsidR="00F527C3" w:rsidRDefault="00446276" w:rsidP="00C92786">
      <w:pPr>
        <w:spacing w:after="0"/>
        <w:jc w:val="both"/>
        <w:rPr>
          <w:rFonts w:cs="Times New Roman"/>
        </w:rPr>
      </w:pPr>
      <w:r>
        <w:rPr>
          <w:rFonts w:cs="Times New Roman"/>
        </w:rPr>
        <w:t>Elles se sont orientées sur la résolution des difficultés, des apports en matière de suggestions et de recommandations</w:t>
      </w:r>
      <w:r w:rsidR="00854442">
        <w:rPr>
          <w:rFonts w:cs="Times New Roman"/>
        </w:rPr>
        <w:t>.</w:t>
      </w:r>
    </w:p>
    <w:p w14:paraId="1C0B6532" w14:textId="7C35E363" w:rsidR="00854442" w:rsidRDefault="00854442" w:rsidP="00C92786">
      <w:pPr>
        <w:spacing w:after="0"/>
        <w:jc w:val="both"/>
        <w:rPr>
          <w:rFonts w:cs="Times New Roman"/>
        </w:rPr>
      </w:pPr>
    </w:p>
    <w:p w14:paraId="3A613DF5" w14:textId="6306E026" w:rsidR="00854442" w:rsidRDefault="00854442" w:rsidP="00C92786">
      <w:pPr>
        <w:spacing w:after="0"/>
        <w:jc w:val="both"/>
        <w:rPr>
          <w:rFonts w:cs="Times New Roman"/>
          <w:u w:val="single"/>
        </w:rPr>
      </w:pPr>
      <w:r w:rsidRPr="00854442">
        <w:rPr>
          <w:rFonts w:cs="Times New Roman"/>
          <w:u w:val="single"/>
        </w:rPr>
        <w:t>Les préoccupations et apports</w:t>
      </w:r>
    </w:p>
    <w:p w14:paraId="19D1FBFB" w14:textId="77777777" w:rsidR="007964DA" w:rsidRPr="00854442" w:rsidRDefault="007964DA" w:rsidP="00C92786">
      <w:pPr>
        <w:spacing w:after="0"/>
        <w:jc w:val="both"/>
        <w:rPr>
          <w:rFonts w:cs="Times New Roman"/>
          <w:u w:val="single"/>
        </w:rPr>
      </w:pPr>
    </w:p>
    <w:p w14:paraId="1C4EA206" w14:textId="3F7BCD0E" w:rsidR="005B0BCB" w:rsidRDefault="00AF7776" w:rsidP="00C92786">
      <w:pPr>
        <w:pStyle w:val="Paragraphedeliste"/>
        <w:numPr>
          <w:ilvl w:val="0"/>
          <w:numId w:val="6"/>
        </w:numPr>
        <w:jc w:val="both"/>
      </w:pPr>
      <w:r w:rsidRPr="007964DA">
        <w:rPr>
          <w:rFonts w:cs="Times New Roman"/>
          <w:b/>
        </w:rPr>
        <w:t>Comment cerner les impacts du projet, à savoir le suivi évaluation ?</w:t>
      </w:r>
      <w:r w:rsidR="007964DA" w:rsidRPr="007964DA">
        <w:rPr>
          <w:rFonts w:cs="Times New Roman"/>
          <w:b/>
        </w:rPr>
        <w:br/>
      </w:r>
      <w:r w:rsidR="007964DA" w:rsidRPr="007964DA">
        <w:rPr>
          <w:rFonts w:cs="Times New Roman"/>
          <w:i/>
        </w:rPr>
        <w:t>Réponse (DR)</w:t>
      </w:r>
      <w:r w:rsidR="007964DA" w:rsidRPr="007964DA">
        <w:rPr>
          <w:rFonts w:cs="Times New Roman"/>
        </w:rPr>
        <w:t xml:space="preserve"> : </w:t>
      </w:r>
      <w:r w:rsidR="007964DA">
        <w:t>Cette question sera traitée avec l’accompagnement</w:t>
      </w:r>
      <w:r w:rsidR="007964DA" w:rsidRPr="002504B4">
        <w:t xml:space="preserve"> </w:t>
      </w:r>
      <w:r w:rsidR="007964DA">
        <w:t>de Mme Zoundi (chargée du suivi-évaluation et du renforcement des capacités). Il s’agira de faire un état des lieux de l’existant, de sélectionner les indicateurs et de construire le système de suivi-évaluation axé sur les résultats et les impacts</w:t>
      </w:r>
      <w:r w:rsidR="00B71A3B">
        <w:t xml:space="preserve"> du projet</w:t>
      </w:r>
      <w:r w:rsidR="007964DA">
        <w:t>.</w:t>
      </w:r>
    </w:p>
    <w:p w14:paraId="1B1A6F3E" w14:textId="77777777" w:rsidR="00433905" w:rsidRDefault="00433905" w:rsidP="00C92786">
      <w:pPr>
        <w:jc w:val="both"/>
      </w:pPr>
    </w:p>
    <w:p w14:paraId="3D2425DA" w14:textId="621781F2" w:rsidR="00FA792C" w:rsidRPr="005B0BCB" w:rsidRDefault="00FA792C" w:rsidP="00C92786">
      <w:pPr>
        <w:pStyle w:val="Paragraphedeliste"/>
        <w:numPr>
          <w:ilvl w:val="0"/>
          <w:numId w:val="7"/>
        </w:numPr>
        <w:spacing w:after="160" w:line="259" w:lineRule="auto"/>
        <w:jc w:val="both"/>
      </w:pPr>
      <w:r w:rsidRPr="005B0BCB">
        <w:rPr>
          <w:rFonts w:cs="Times New Roman"/>
          <w:b/>
        </w:rPr>
        <w:t xml:space="preserve">A propos des litiges entre Multi villages : quels sont les motifs ? Quelle est la nature des problèmes ? </w:t>
      </w:r>
      <w:r w:rsidR="00B71A3B">
        <w:rPr>
          <w:rFonts w:cs="Times New Roman"/>
          <w:b/>
        </w:rPr>
        <w:t>Et qu’est ce qui est fait à ce jour ?</w:t>
      </w:r>
      <w:r w:rsidRPr="005B0BCB">
        <w:rPr>
          <w:rFonts w:cs="Times New Roman"/>
          <w:b/>
        </w:rPr>
        <w:br/>
      </w:r>
      <w:r w:rsidRPr="005B0BCB">
        <w:rPr>
          <w:rFonts w:cs="Times New Roman"/>
          <w:i/>
          <w:u w:val="single"/>
        </w:rPr>
        <w:t>Réponses</w:t>
      </w:r>
      <w:r w:rsidRPr="005B0BCB">
        <w:rPr>
          <w:rFonts w:cs="Times New Roman"/>
          <w:i/>
        </w:rPr>
        <w:br/>
        <w:t>(E.</w:t>
      </w:r>
      <w:r w:rsidRPr="005B0BCB">
        <w:rPr>
          <w:rFonts w:cs="Times New Roman"/>
          <w:b/>
        </w:rPr>
        <w:t xml:space="preserve"> </w:t>
      </w:r>
      <w:r w:rsidRPr="005B0BCB">
        <w:rPr>
          <w:rFonts w:cs="Times New Roman"/>
          <w:i/>
        </w:rPr>
        <w:t xml:space="preserve">KOUASSI, Sociologue Gauff) : </w:t>
      </w:r>
      <w:r>
        <w:t xml:space="preserve">Ce sont des conflits dits « Conflits d’affirmation identitaire ». Les deux (02) AEP-MV dont il est question sont à cheval sur deux communes différentes de deux provinces différentes (Gayéri dans la Komondjari et Bilanga dans la Gnagna), ce qui rend complexe la résolution administrative. Le niveau de conflit n’est pas trop déterminant (grave) car ils partagent malgré </w:t>
      </w:r>
      <w:r w:rsidR="00DF71F0">
        <w:t xml:space="preserve">tous </w:t>
      </w:r>
      <w:r>
        <w:t>des valeurs culturelles</w:t>
      </w:r>
      <w:r w:rsidR="005B0BCB">
        <w:t>.</w:t>
      </w:r>
      <w:r w:rsidR="005B0BCB">
        <w:br/>
      </w:r>
      <w:r w:rsidR="005B0BCB" w:rsidRPr="005B0BCB">
        <w:rPr>
          <w:i/>
        </w:rPr>
        <w:t>(DR) :</w:t>
      </w:r>
      <w:r w:rsidR="005B0BCB">
        <w:t xml:space="preserve"> Garder l’alternative des deux (02) AEPS distinctes comme dernier recours même si l’AEP-MV reste la priorité. </w:t>
      </w:r>
      <w:r w:rsidR="005B0BCB">
        <w:br/>
      </w:r>
      <w:r w:rsidR="005B0BCB" w:rsidRPr="005B0BCB">
        <w:rPr>
          <w:i/>
        </w:rPr>
        <w:t>(H. OUIBIGA) :</w:t>
      </w:r>
      <w:r w:rsidR="005B0BCB">
        <w:t xml:space="preserve"> </w:t>
      </w:r>
      <w:r>
        <w:t xml:space="preserve">Privilégier le dialogue et les mécanismes de résolution </w:t>
      </w:r>
      <w:r w:rsidR="005B0BCB">
        <w:t>afin de pouvoir réaliser les AEPS MV</w:t>
      </w:r>
    </w:p>
    <w:p w14:paraId="5DE10535" w14:textId="77777777" w:rsidR="008D7365" w:rsidRPr="005B0BCB" w:rsidRDefault="008D7365" w:rsidP="00C92786">
      <w:pPr>
        <w:spacing w:after="0"/>
        <w:jc w:val="both"/>
        <w:rPr>
          <w:rFonts w:cs="Times New Roman"/>
          <w:b/>
        </w:rPr>
      </w:pPr>
    </w:p>
    <w:p w14:paraId="3FF87D44" w14:textId="0A334EE7" w:rsidR="00B768E2" w:rsidRDefault="00B768E2" w:rsidP="00C92786">
      <w:pPr>
        <w:pStyle w:val="Paragraphedeliste"/>
        <w:numPr>
          <w:ilvl w:val="0"/>
          <w:numId w:val="6"/>
        </w:numPr>
        <w:jc w:val="both"/>
      </w:pPr>
      <w:r w:rsidRPr="00B768E2">
        <w:rPr>
          <w:rFonts w:cs="Times New Roman"/>
          <w:b/>
        </w:rPr>
        <w:t>Passation des marchés : privilégier la pré-qualification ou non ?</w:t>
      </w:r>
      <w:r w:rsidRPr="00B768E2">
        <w:rPr>
          <w:rFonts w:cs="Times New Roman"/>
          <w:b/>
        </w:rPr>
        <w:br/>
      </w:r>
      <w:r w:rsidRPr="00B768E2">
        <w:rPr>
          <w:rFonts w:cs="Times New Roman"/>
          <w:i/>
          <w:u w:val="single"/>
        </w:rPr>
        <w:t>Réponses</w:t>
      </w:r>
      <w:r w:rsidRPr="00B768E2">
        <w:rPr>
          <w:rFonts w:cs="Times New Roman"/>
          <w:i/>
          <w:u w:val="single"/>
        </w:rPr>
        <w:br/>
      </w:r>
      <w:r>
        <w:rPr>
          <w:i/>
        </w:rPr>
        <w:t>(</w:t>
      </w:r>
      <w:r w:rsidRPr="00B768E2">
        <w:rPr>
          <w:i/>
        </w:rPr>
        <w:t>DGEP</w:t>
      </w:r>
      <w:r>
        <w:t>) : Soit on intègre dans le DAO des critères de sélection claires et drastiques sur la partie Gestion-Exploitation, soit on procède par pré qualification (ce qui pourrait engendrer des coûts supplémentaires).</w:t>
      </w:r>
    </w:p>
    <w:p w14:paraId="3AEA62C2" w14:textId="3E078982" w:rsidR="00B768E2" w:rsidRDefault="00B768E2" w:rsidP="00C92786">
      <w:pPr>
        <w:ind w:left="708"/>
        <w:jc w:val="both"/>
      </w:pPr>
      <w:r>
        <w:rPr>
          <w:i/>
        </w:rPr>
        <w:t>(</w:t>
      </w:r>
      <w:r w:rsidRPr="00B768E2">
        <w:rPr>
          <w:i/>
        </w:rPr>
        <w:t>H.</w:t>
      </w:r>
      <w:r>
        <w:rPr>
          <w:i/>
        </w:rPr>
        <w:t xml:space="preserve"> </w:t>
      </w:r>
      <w:r w:rsidRPr="00B768E2">
        <w:rPr>
          <w:i/>
        </w:rPr>
        <w:t>OUIBIGA</w:t>
      </w:r>
      <w:r>
        <w:rPr>
          <w:i/>
        </w:rPr>
        <w:t>)</w:t>
      </w:r>
      <w:r>
        <w:t xml:space="preserve"> : L’élément essentiel pour juger de l’adoption de la pré qualification ou non est le retour d’expérience disponible sur la démarche de construction-exploitation. Le niveau actuel de retour d’expériences étant faible, la pré qualification est la démarche la plus appropriée. Si on élimine cette partie de la procédure en croyant gagner du temps, on rate les objectifs de long-terme. Les dossiers de pré qualifications ne sont, ni des freins, ni contraires à la bonne </w:t>
      </w:r>
      <w:r>
        <w:lastRenderedPageBreak/>
        <w:t>concurrence, tout dépendra du nombre de candidatures et c’est pourquoi le dossier de pré qualifications peut être monté de façon à élargir le champ, d’autant qu’il s’agit d’une procédure internationale ouverte.</w:t>
      </w:r>
    </w:p>
    <w:p w14:paraId="276DB27C" w14:textId="41D4F0EC" w:rsidR="00B768E2" w:rsidRDefault="00B768E2" w:rsidP="00C92786">
      <w:pPr>
        <w:ind w:left="708"/>
        <w:jc w:val="both"/>
      </w:pPr>
      <w:r>
        <w:rPr>
          <w:i/>
        </w:rPr>
        <w:t>(</w:t>
      </w:r>
      <w:r w:rsidRPr="00B768E2">
        <w:rPr>
          <w:i/>
        </w:rPr>
        <w:t>DR</w:t>
      </w:r>
      <w:r>
        <w:rPr>
          <w:i/>
        </w:rPr>
        <w:t>)</w:t>
      </w:r>
      <w:r>
        <w:t> : Trois (03) lots de réseaux (AEPS et AEP-MV mélangés) seront constitués pour éviter d’avoir un seul et même opérateur. Le regroupement d’entreprises est à favoriser quel que soit la formule choisie. Vu que les marchés sont passés au niveau central, la pré qualification pourrait allonger les délais de réalisation, alors que le projet a absolument besoin d’une année en fin de projet pour le suivi du système STEFI et de la qualité du service rendu par les exploitants.</w:t>
      </w:r>
    </w:p>
    <w:p w14:paraId="1846C719" w14:textId="77777777" w:rsidR="00433905" w:rsidRDefault="00433905" w:rsidP="00C92786">
      <w:pPr>
        <w:ind w:left="708"/>
        <w:jc w:val="both"/>
      </w:pPr>
    </w:p>
    <w:p w14:paraId="19A59DC7" w14:textId="2849D157" w:rsidR="00433905" w:rsidRDefault="00B768E2" w:rsidP="00C92786">
      <w:pPr>
        <w:pStyle w:val="Paragraphedeliste"/>
        <w:numPr>
          <w:ilvl w:val="0"/>
          <w:numId w:val="6"/>
        </w:numPr>
        <w:jc w:val="both"/>
      </w:pPr>
      <w:r w:rsidRPr="00433905">
        <w:rPr>
          <w:rFonts w:cs="Times New Roman"/>
          <w:b/>
        </w:rPr>
        <w:t>Taux de forages positifs pour les AEPS est faibles (27%) </w:t>
      </w:r>
      <w:r w:rsidRPr="00433905">
        <w:rPr>
          <w:rFonts w:cs="Times New Roman"/>
        </w:rPr>
        <w:t>!</w:t>
      </w:r>
      <w:r w:rsidRPr="00433905">
        <w:rPr>
          <w:rFonts w:cs="Times New Roman"/>
        </w:rPr>
        <w:br/>
      </w:r>
      <w:r w:rsidR="00BE15BF" w:rsidRPr="00433905">
        <w:rPr>
          <w:b/>
        </w:rPr>
        <w:t>Peut-on</w:t>
      </w:r>
      <w:r w:rsidR="00AA3DC1" w:rsidRPr="00433905">
        <w:rPr>
          <w:b/>
        </w:rPr>
        <w:t xml:space="preserve"> inclure l’obligation de résultats dans les implantations géophysiques</w:t>
      </w:r>
      <w:r w:rsidR="00BE15BF" w:rsidRPr="00433905">
        <w:rPr>
          <w:b/>
        </w:rPr>
        <w:t> ?</w:t>
      </w:r>
      <w:r w:rsidR="00AA3DC1" w:rsidRPr="00433905">
        <w:rPr>
          <w:b/>
        </w:rPr>
        <w:t xml:space="preserve"> Quelles sont les difficultés rencontrées par le MOE</w:t>
      </w:r>
      <w:r w:rsidR="00CB73E7">
        <w:rPr>
          <w:b/>
        </w:rPr>
        <w:t>TS</w:t>
      </w:r>
      <w:r w:rsidR="00AA3DC1" w:rsidRPr="00433905">
        <w:rPr>
          <w:b/>
        </w:rPr>
        <w:t> ? Comment peut-on relever ce défi des forages négatifs ?</w:t>
      </w:r>
      <w:r w:rsidR="00433905" w:rsidRPr="00433905">
        <w:rPr>
          <w:b/>
        </w:rPr>
        <w:br/>
      </w:r>
      <w:r w:rsidR="00433905" w:rsidRPr="00433905">
        <w:rPr>
          <w:i/>
          <w:u w:val="single"/>
        </w:rPr>
        <w:t>Réponse</w:t>
      </w:r>
      <w:r w:rsidR="00433905" w:rsidRPr="00433905">
        <w:rPr>
          <w:b/>
        </w:rPr>
        <w:br/>
      </w:r>
      <w:r w:rsidR="00433905" w:rsidRPr="00433905">
        <w:rPr>
          <w:i/>
        </w:rPr>
        <w:t>(M. TRAVELLA)</w:t>
      </w:r>
      <w:r w:rsidR="00433905">
        <w:t> : Le taux de réussite est conforme à ce qui était prévu. La difficulté est que les implantations n’ont pas été faites avant le début des forages (le marché des forages a été signé avant l’arrivée du MOETS) donc il est difficile d’implanter tout en étant poursuivis par les ateliers de forage. Il est proposé de stopper les travaux du fait de la saison pluvieuse, finir les implantations des forages dans les 80 centres (d’ici la fin du mois de juillet), et reprendre les travaux à la fin de la saison pluvieuse.</w:t>
      </w:r>
    </w:p>
    <w:p w14:paraId="01A2A973" w14:textId="47845F36" w:rsidR="00433905" w:rsidRDefault="00433905" w:rsidP="00C92786">
      <w:pPr>
        <w:ind w:left="708"/>
        <w:jc w:val="both"/>
      </w:pPr>
      <w:r w:rsidRPr="00433905">
        <w:rPr>
          <w:i/>
        </w:rPr>
        <w:t>(P. MOLIERE)</w:t>
      </w:r>
      <w:r>
        <w:t> : le taux de succès n’est pas inquiétant pour le moment, il est même conforme aux taux rencontrés habituellement sur les forages d’AEPS (25%).  Il faut surtout mettre l’accent sur la poursuite de la recherche en eau, sur les forages existants à réhabiliter et à développer.</w:t>
      </w:r>
    </w:p>
    <w:p w14:paraId="584B3F32" w14:textId="03BB064D" w:rsidR="00433905" w:rsidRDefault="00433905" w:rsidP="00C92786">
      <w:pPr>
        <w:ind w:left="708"/>
        <w:jc w:val="both"/>
      </w:pPr>
      <w:r w:rsidRPr="00433905">
        <w:rPr>
          <w:i/>
        </w:rPr>
        <w:t>(Hydrogéologue</w:t>
      </w:r>
      <w:r>
        <w:rPr>
          <w:i/>
        </w:rPr>
        <w:t xml:space="preserve"> de</w:t>
      </w:r>
      <w:r w:rsidRPr="00433905">
        <w:rPr>
          <w:i/>
        </w:rPr>
        <w:t xml:space="preserve"> Gauff)</w:t>
      </w:r>
      <w:r>
        <w:t xml:space="preserve"> : Nous allons compléter la méthode actuelle par une méthode électro-magnétique de recherche. </w:t>
      </w:r>
    </w:p>
    <w:p w14:paraId="7CB9615B" w14:textId="36D2EF9F" w:rsidR="00AF7776" w:rsidRDefault="00AF7776" w:rsidP="00C92786">
      <w:pPr>
        <w:spacing w:after="0"/>
        <w:jc w:val="both"/>
        <w:rPr>
          <w:rFonts w:cs="Times New Roman"/>
          <w:b/>
        </w:rPr>
      </w:pPr>
    </w:p>
    <w:p w14:paraId="553F829F" w14:textId="085C58D2" w:rsidR="00815FB2" w:rsidRDefault="00815FB2" w:rsidP="00C92786">
      <w:pPr>
        <w:pStyle w:val="Paragraphedeliste"/>
        <w:numPr>
          <w:ilvl w:val="0"/>
          <w:numId w:val="6"/>
        </w:numPr>
        <w:jc w:val="both"/>
      </w:pPr>
      <w:r w:rsidRPr="00815FB2">
        <w:rPr>
          <w:rFonts w:cs="Times New Roman"/>
          <w:b/>
        </w:rPr>
        <w:t>A propos de la contribution des bénéficiaires :</w:t>
      </w:r>
      <w:r w:rsidRPr="00815FB2">
        <w:rPr>
          <w:rFonts w:cs="Times New Roman"/>
          <w:b/>
        </w:rPr>
        <w:br/>
      </w:r>
      <w:r w:rsidRPr="00815FB2">
        <w:rPr>
          <w:i/>
        </w:rPr>
        <w:t>Réponse (DGEP) :</w:t>
      </w:r>
      <w:r>
        <w:t xml:space="preserve"> Rien ne presse. Attendons d’avancer dans le projet.</w:t>
      </w:r>
    </w:p>
    <w:p w14:paraId="3D3E1E26" w14:textId="1B8BFC9B" w:rsidR="00AD2794" w:rsidRDefault="00AD2794" w:rsidP="00C92786">
      <w:pPr>
        <w:jc w:val="both"/>
      </w:pPr>
    </w:p>
    <w:p w14:paraId="6466997A" w14:textId="43CB18CE" w:rsidR="00AD2794" w:rsidRDefault="00AD2794" w:rsidP="00C92786">
      <w:pPr>
        <w:jc w:val="both"/>
        <w:rPr>
          <w:u w:val="single"/>
        </w:rPr>
      </w:pPr>
      <w:r w:rsidRPr="00AD2794">
        <w:rPr>
          <w:u w:val="single"/>
        </w:rPr>
        <w:t>Les recommandations :</w:t>
      </w:r>
    </w:p>
    <w:p w14:paraId="618380C8" w14:textId="3AE102FF" w:rsidR="00AD2794" w:rsidRDefault="0073542D" w:rsidP="00C92786">
      <w:pPr>
        <w:pStyle w:val="Paragraphedeliste"/>
        <w:numPr>
          <w:ilvl w:val="0"/>
          <w:numId w:val="6"/>
        </w:numPr>
        <w:jc w:val="both"/>
      </w:pPr>
      <w:r w:rsidRPr="0073542D">
        <w:t xml:space="preserve">Démarrer une campagne d’information sur les AEP-Multi-Villages et utiliser le guide d’Intermédiation Sociale -AEP (Guide ImS-AEP) adopté au niveau </w:t>
      </w:r>
      <w:r w:rsidRPr="0073542D">
        <w:lastRenderedPageBreak/>
        <w:t>national. Le SG s’est engagé à transmettre ce guide dans sa version définitive aux responsables du projet (DREA, AT-MOA, MOETS).</w:t>
      </w:r>
    </w:p>
    <w:p w14:paraId="7DD91129" w14:textId="3247ACA1" w:rsidR="00EE318C" w:rsidRDefault="00EE318C" w:rsidP="00C92786">
      <w:pPr>
        <w:pStyle w:val="Paragraphedeliste"/>
        <w:numPr>
          <w:ilvl w:val="0"/>
          <w:numId w:val="6"/>
        </w:numPr>
        <w:jc w:val="both"/>
      </w:pPr>
      <w:r w:rsidRPr="00EE318C">
        <w:rPr>
          <w:b/>
          <w:i/>
        </w:rPr>
        <w:t>DGEP</w:t>
      </w:r>
      <w:r>
        <w:t> : Inciter les entreprises à s’engager pleinement dans une gestion de qualité du service, en intégrant dans le DAO une contribution des entreprises de 5 à 10% du montant du marché, que l’attributaire récupèrera au cours des 15 ans de gestion des réseaux.</w:t>
      </w:r>
      <w:r>
        <w:br/>
      </w:r>
      <w:r w:rsidRPr="00EE318C">
        <w:rPr>
          <w:b/>
          <w:i/>
        </w:rPr>
        <w:t>SG/MEA</w:t>
      </w:r>
      <w:r>
        <w:t> : La gestion déléguée des AEPS doit être basée sur l’étude tarifaire et l’étude PPP dans le secteur de l’eau. Le projet doit donc utiliser la nouvelle version du contrat-type. Tout en intégrant les aspects liés au STEFI, qui constituent l’aspect novateur de ce projet.</w:t>
      </w:r>
    </w:p>
    <w:p w14:paraId="4BA114AF" w14:textId="61B49CF2" w:rsidR="0073542D" w:rsidRDefault="0073542D" w:rsidP="00C92786">
      <w:pPr>
        <w:jc w:val="both"/>
      </w:pPr>
    </w:p>
    <w:p w14:paraId="1FDF9F86" w14:textId="1B9DE2FC" w:rsidR="00091E0B" w:rsidRDefault="007C616A" w:rsidP="00C92786">
      <w:pPr>
        <w:pStyle w:val="Paragraphedeliste"/>
        <w:numPr>
          <w:ilvl w:val="0"/>
          <w:numId w:val="2"/>
        </w:numPr>
        <w:jc w:val="both"/>
        <w:rPr>
          <w:b/>
        </w:rPr>
      </w:pPr>
      <w:r w:rsidRPr="00091E0B">
        <w:rPr>
          <w:b/>
        </w:rPr>
        <w:t>Programme d’activités du second semestre 2018</w:t>
      </w:r>
    </w:p>
    <w:p w14:paraId="13198C01" w14:textId="77777777" w:rsidR="00091E0B" w:rsidRPr="00091E0B" w:rsidRDefault="00091E0B" w:rsidP="00C92786">
      <w:pPr>
        <w:jc w:val="both"/>
        <w:rPr>
          <w:b/>
        </w:rPr>
      </w:pPr>
    </w:p>
    <w:p w14:paraId="4AE4A1B5" w14:textId="002E22BD" w:rsidR="00091E0B" w:rsidRPr="00091E0B" w:rsidRDefault="00091E0B" w:rsidP="00C92786">
      <w:pPr>
        <w:pStyle w:val="Paragraphedeliste"/>
        <w:numPr>
          <w:ilvl w:val="1"/>
          <w:numId w:val="2"/>
        </w:numPr>
        <w:jc w:val="both"/>
        <w:rPr>
          <w:b/>
        </w:rPr>
      </w:pPr>
      <w:r>
        <w:rPr>
          <w:b/>
        </w:rPr>
        <w:t>Présentation des activités</w:t>
      </w:r>
    </w:p>
    <w:p w14:paraId="25EEDFE1" w14:textId="6B1F354B" w:rsidR="00AD2794" w:rsidRDefault="008A1483" w:rsidP="00C92786">
      <w:pPr>
        <w:spacing w:after="0"/>
        <w:jc w:val="both"/>
        <w:rPr>
          <w:rFonts w:cs="Times New Roman"/>
        </w:rPr>
      </w:pPr>
      <w:r>
        <w:rPr>
          <w:rFonts w:cs="Times New Roman"/>
        </w:rPr>
        <w:t>Les actions prévues sont entre autres :</w:t>
      </w:r>
    </w:p>
    <w:p w14:paraId="274C7E13" w14:textId="0D932B75" w:rsidR="008A1483" w:rsidRDefault="003052FE" w:rsidP="00C92786">
      <w:pPr>
        <w:pStyle w:val="Paragraphedeliste"/>
        <w:numPr>
          <w:ilvl w:val="0"/>
          <w:numId w:val="8"/>
        </w:numPr>
        <w:spacing w:after="0"/>
        <w:jc w:val="both"/>
        <w:rPr>
          <w:rFonts w:cs="Times New Roman"/>
        </w:rPr>
      </w:pPr>
      <w:r>
        <w:rPr>
          <w:rFonts w:cs="Times New Roman"/>
        </w:rPr>
        <w:t>Au niveau du pilotage du projet, une autre réunion technique sera tenue en fin d’exercice 2018</w:t>
      </w:r>
    </w:p>
    <w:p w14:paraId="61F6DB94" w14:textId="688D1499" w:rsidR="003052FE" w:rsidRDefault="003052FE" w:rsidP="00C92786">
      <w:pPr>
        <w:pStyle w:val="Paragraphedeliste"/>
        <w:numPr>
          <w:ilvl w:val="0"/>
          <w:numId w:val="8"/>
        </w:numPr>
        <w:spacing w:after="0"/>
        <w:jc w:val="both"/>
        <w:rPr>
          <w:rFonts w:cs="Times New Roman"/>
        </w:rPr>
      </w:pPr>
      <w:r>
        <w:rPr>
          <w:rFonts w:cs="Times New Roman"/>
        </w:rPr>
        <w:t>La poursuite de la campagne d’information et de communication</w:t>
      </w:r>
    </w:p>
    <w:p w14:paraId="075C2354" w14:textId="0D683BBD" w:rsidR="003052FE" w:rsidRDefault="003052FE" w:rsidP="00C92786">
      <w:pPr>
        <w:pStyle w:val="Paragraphedeliste"/>
        <w:numPr>
          <w:ilvl w:val="0"/>
          <w:numId w:val="8"/>
        </w:numPr>
        <w:spacing w:after="0"/>
        <w:jc w:val="both"/>
        <w:rPr>
          <w:rFonts w:cs="Times New Roman"/>
        </w:rPr>
      </w:pPr>
      <w:r>
        <w:rPr>
          <w:rFonts w:cs="Times New Roman"/>
        </w:rPr>
        <w:t>La mobilisation des contributions</w:t>
      </w:r>
    </w:p>
    <w:p w14:paraId="72C877AE" w14:textId="6491AEF3" w:rsidR="003052FE" w:rsidRDefault="003052FE" w:rsidP="00C92786">
      <w:pPr>
        <w:pStyle w:val="Paragraphedeliste"/>
        <w:numPr>
          <w:ilvl w:val="0"/>
          <w:numId w:val="8"/>
        </w:numPr>
        <w:spacing w:after="0"/>
        <w:jc w:val="both"/>
        <w:rPr>
          <w:rFonts w:cs="Times New Roman"/>
        </w:rPr>
      </w:pPr>
      <w:r>
        <w:rPr>
          <w:rFonts w:cs="Times New Roman"/>
        </w:rPr>
        <w:t>La poursuite des implantations (recherche en eau)</w:t>
      </w:r>
    </w:p>
    <w:p w14:paraId="43F17EB0" w14:textId="1ABA92EC" w:rsidR="003052FE" w:rsidRDefault="003052FE" w:rsidP="00C92786">
      <w:pPr>
        <w:pStyle w:val="Paragraphedeliste"/>
        <w:numPr>
          <w:ilvl w:val="0"/>
          <w:numId w:val="8"/>
        </w:numPr>
        <w:spacing w:after="0"/>
        <w:jc w:val="both"/>
        <w:rPr>
          <w:rFonts w:cs="Times New Roman"/>
        </w:rPr>
      </w:pPr>
      <w:r>
        <w:rPr>
          <w:rFonts w:cs="Times New Roman"/>
        </w:rPr>
        <w:t>L’élaboration des dossiers d’appel d’offres des AEPS</w:t>
      </w:r>
    </w:p>
    <w:p w14:paraId="0BC377E1" w14:textId="468C0C8B" w:rsidR="003052FE" w:rsidRDefault="003052FE" w:rsidP="00C92786">
      <w:pPr>
        <w:pStyle w:val="Paragraphedeliste"/>
        <w:numPr>
          <w:ilvl w:val="0"/>
          <w:numId w:val="8"/>
        </w:numPr>
        <w:spacing w:after="0"/>
        <w:jc w:val="both"/>
        <w:rPr>
          <w:rFonts w:cs="Times New Roman"/>
        </w:rPr>
      </w:pPr>
      <w:r>
        <w:rPr>
          <w:rFonts w:cs="Times New Roman"/>
        </w:rPr>
        <w:t>La finalisation de la liste des forages</w:t>
      </w:r>
    </w:p>
    <w:p w14:paraId="05C9FF96" w14:textId="4B1518C0" w:rsidR="003052FE" w:rsidRDefault="003052FE" w:rsidP="00C92786">
      <w:pPr>
        <w:pStyle w:val="Paragraphedeliste"/>
        <w:numPr>
          <w:ilvl w:val="0"/>
          <w:numId w:val="8"/>
        </w:numPr>
        <w:spacing w:after="0"/>
        <w:jc w:val="both"/>
        <w:rPr>
          <w:rFonts w:cs="Times New Roman"/>
        </w:rPr>
      </w:pPr>
      <w:r>
        <w:rPr>
          <w:rFonts w:cs="Times New Roman"/>
        </w:rPr>
        <w:t>La signature des marchés de génie civil et de pose de PMH, et le démarrage des travaux</w:t>
      </w:r>
    </w:p>
    <w:p w14:paraId="03635AE4" w14:textId="2696FBDD" w:rsidR="003052FE" w:rsidRDefault="003052FE" w:rsidP="00C92786">
      <w:pPr>
        <w:pStyle w:val="Paragraphedeliste"/>
        <w:numPr>
          <w:ilvl w:val="0"/>
          <w:numId w:val="8"/>
        </w:numPr>
        <w:spacing w:after="0"/>
        <w:jc w:val="both"/>
        <w:rPr>
          <w:rFonts w:cs="Times New Roman"/>
        </w:rPr>
      </w:pPr>
      <w:r>
        <w:rPr>
          <w:rFonts w:cs="Times New Roman"/>
        </w:rPr>
        <w:t>Le renforcement des capacités à travers l’Assistant Technique Suivi Evaluation et Renforcement de Capacités</w:t>
      </w:r>
    </w:p>
    <w:p w14:paraId="4DF8AD4E" w14:textId="68AFAB20" w:rsidR="003052FE" w:rsidRDefault="003052FE" w:rsidP="00C92786">
      <w:pPr>
        <w:pStyle w:val="Paragraphedeliste"/>
        <w:numPr>
          <w:ilvl w:val="0"/>
          <w:numId w:val="8"/>
        </w:numPr>
        <w:spacing w:after="0"/>
        <w:jc w:val="both"/>
        <w:rPr>
          <w:rFonts w:cs="Times New Roman"/>
        </w:rPr>
      </w:pPr>
      <w:r>
        <w:rPr>
          <w:rFonts w:cs="Times New Roman"/>
        </w:rPr>
        <w:t>Formation des acteurs locaux</w:t>
      </w:r>
    </w:p>
    <w:p w14:paraId="3644C969" w14:textId="6FBF5327" w:rsidR="003052FE" w:rsidRDefault="003052FE" w:rsidP="00C92786">
      <w:pPr>
        <w:pStyle w:val="Paragraphedeliste"/>
        <w:numPr>
          <w:ilvl w:val="0"/>
          <w:numId w:val="8"/>
        </w:numPr>
        <w:spacing w:after="0"/>
        <w:jc w:val="both"/>
        <w:rPr>
          <w:rFonts w:cs="Times New Roman"/>
        </w:rPr>
      </w:pPr>
      <w:r w:rsidRPr="003052FE">
        <w:rPr>
          <w:rFonts w:cs="Times New Roman"/>
        </w:rPr>
        <w:t>Une grille d’indicateurs permettant l’évaluation permanente du projet sera proposée</w:t>
      </w:r>
    </w:p>
    <w:p w14:paraId="19E5F93B" w14:textId="04C3C8EE" w:rsidR="003052FE" w:rsidRDefault="003052FE" w:rsidP="00C92786">
      <w:pPr>
        <w:spacing w:after="0"/>
        <w:jc w:val="both"/>
        <w:rPr>
          <w:rFonts w:cs="Times New Roman"/>
        </w:rPr>
      </w:pPr>
      <w:r>
        <w:rPr>
          <w:rFonts w:cs="Times New Roman"/>
        </w:rPr>
        <w:t xml:space="preserve">Le budget prévisionnel pour ce second semestre s’élève à </w:t>
      </w:r>
      <w:r w:rsidRPr="003052FE">
        <w:rPr>
          <w:rFonts w:cs="Times New Roman"/>
        </w:rPr>
        <w:t>479 293 830 FCFA</w:t>
      </w:r>
    </w:p>
    <w:p w14:paraId="66000184" w14:textId="4C55C525" w:rsidR="00163AFF" w:rsidRDefault="00163AFF" w:rsidP="00C92786">
      <w:pPr>
        <w:spacing w:after="0"/>
        <w:jc w:val="both"/>
        <w:rPr>
          <w:rFonts w:cs="Times New Roman"/>
        </w:rPr>
      </w:pPr>
    </w:p>
    <w:p w14:paraId="7C41194A" w14:textId="77777777" w:rsidR="00574297" w:rsidRDefault="00574297" w:rsidP="00C92786">
      <w:pPr>
        <w:spacing w:after="0"/>
        <w:jc w:val="both"/>
        <w:rPr>
          <w:rFonts w:cs="Times New Roman"/>
        </w:rPr>
      </w:pPr>
    </w:p>
    <w:p w14:paraId="2410FEC4" w14:textId="2EE8FDE3" w:rsidR="00163AFF" w:rsidRDefault="00163AFF" w:rsidP="00C92786">
      <w:pPr>
        <w:pStyle w:val="Paragraphedeliste"/>
        <w:numPr>
          <w:ilvl w:val="1"/>
          <w:numId w:val="2"/>
        </w:numPr>
        <w:spacing w:after="0"/>
        <w:jc w:val="both"/>
        <w:rPr>
          <w:rFonts w:cs="Times New Roman"/>
          <w:b/>
        </w:rPr>
      </w:pPr>
      <w:r w:rsidRPr="00163AFF">
        <w:rPr>
          <w:rFonts w:cs="Times New Roman"/>
          <w:b/>
        </w:rPr>
        <w:t xml:space="preserve">Echanges </w:t>
      </w:r>
    </w:p>
    <w:p w14:paraId="3B60CBA6" w14:textId="306F67D3" w:rsidR="00163AFF" w:rsidRDefault="00163AFF" w:rsidP="00C92786">
      <w:pPr>
        <w:spacing w:after="0"/>
        <w:jc w:val="both"/>
        <w:rPr>
          <w:rFonts w:cs="Times New Roman"/>
          <w:b/>
        </w:rPr>
      </w:pPr>
    </w:p>
    <w:p w14:paraId="3CEEC658" w14:textId="039D3D8F" w:rsidR="00163AFF" w:rsidRDefault="0076693B" w:rsidP="00C92786">
      <w:pPr>
        <w:spacing w:after="0"/>
        <w:jc w:val="both"/>
        <w:rPr>
          <w:rFonts w:cs="Times New Roman"/>
          <w:u w:val="single"/>
        </w:rPr>
      </w:pPr>
      <w:r w:rsidRPr="008859DE">
        <w:rPr>
          <w:rFonts w:cs="Times New Roman"/>
          <w:u w:val="single"/>
        </w:rPr>
        <w:t>Préoccupation :</w:t>
      </w:r>
    </w:p>
    <w:p w14:paraId="5A6CED68" w14:textId="74B3A29D" w:rsidR="008859DE" w:rsidRDefault="008859DE" w:rsidP="00C92786">
      <w:pPr>
        <w:spacing w:after="0"/>
        <w:jc w:val="both"/>
        <w:rPr>
          <w:rFonts w:cs="Times New Roman"/>
        </w:rPr>
      </w:pPr>
      <w:r w:rsidRPr="008859DE">
        <w:rPr>
          <w:rFonts w:cs="Times New Roman"/>
          <w:b/>
        </w:rPr>
        <w:t>Cette programmation n’est-elle pas très optimiste pour un seul semestre ?</w:t>
      </w:r>
      <w:r>
        <w:rPr>
          <w:rFonts w:cs="Times New Roman"/>
          <w:b/>
        </w:rPr>
        <w:br/>
      </w:r>
      <w:r w:rsidRPr="008859DE">
        <w:rPr>
          <w:rFonts w:cs="Times New Roman"/>
          <w:i/>
        </w:rPr>
        <w:t>Réponse (DR) :</w:t>
      </w:r>
      <w:r>
        <w:rPr>
          <w:rFonts w:cs="Times New Roman"/>
          <w:i/>
        </w:rPr>
        <w:t xml:space="preserve"> </w:t>
      </w:r>
      <w:r>
        <w:rPr>
          <w:rFonts w:cs="Times New Roman"/>
        </w:rPr>
        <w:t>elle sera réajustée au fil du déroulement des activités</w:t>
      </w:r>
    </w:p>
    <w:p w14:paraId="52FFE83C" w14:textId="40055F3E" w:rsidR="008859DE" w:rsidRDefault="008859DE" w:rsidP="00C92786">
      <w:pPr>
        <w:spacing w:after="0"/>
        <w:jc w:val="both"/>
        <w:rPr>
          <w:rFonts w:cs="Times New Roman"/>
          <w:u w:val="single"/>
        </w:rPr>
      </w:pPr>
      <w:r w:rsidRPr="008859DE">
        <w:rPr>
          <w:rFonts w:cs="Times New Roman"/>
          <w:u w:val="single"/>
        </w:rPr>
        <w:lastRenderedPageBreak/>
        <w:t>Recommandations :</w:t>
      </w:r>
    </w:p>
    <w:p w14:paraId="2923B4C7" w14:textId="59DAF54E" w:rsidR="008859DE" w:rsidRDefault="008859DE" w:rsidP="00C92786">
      <w:pPr>
        <w:spacing w:after="0"/>
        <w:jc w:val="both"/>
        <w:rPr>
          <w:rFonts w:cs="Times New Roman"/>
          <w:u w:val="single"/>
        </w:rPr>
      </w:pPr>
    </w:p>
    <w:p w14:paraId="49F88445" w14:textId="77777777" w:rsidR="008859DE" w:rsidRPr="008859DE" w:rsidRDefault="008859DE" w:rsidP="00C92786">
      <w:pPr>
        <w:pStyle w:val="Paragraphedeliste"/>
        <w:numPr>
          <w:ilvl w:val="0"/>
          <w:numId w:val="9"/>
        </w:numPr>
        <w:jc w:val="both"/>
      </w:pPr>
      <w:r w:rsidRPr="008859DE">
        <w:t>Intégrer un planning détaillé des activités qui seront menées dans le second semestre 2018, pour permettre d’y voir plus clair et de juger de la faisabilité de cette programmation</w:t>
      </w:r>
    </w:p>
    <w:p w14:paraId="5DF72BB9" w14:textId="6F6DA443" w:rsidR="008859DE" w:rsidRPr="008859DE" w:rsidRDefault="008859DE" w:rsidP="00C92786">
      <w:pPr>
        <w:pStyle w:val="Paragraphedeliste"/>
        <w:numPr>
          <w:ilvl w:val="0"/>
          <w:numId w:val="9"/>
        </w:numPr>
        <w:jc w:val="both"/>
      </w:pPr>
      <w:r w:rsidRPr="008859DE">
        <w:t>Revoir le chronogramme général qui n’apparaît pas entièrement dans le devis-programme</w:t>
      </w:r>
    </w:p>
    <w:p w14:paraId="6E553E2F" w14:textId="1062FEE5" w:rsidR="008859DE" w:rsidRDefault="008859DE" w:rsidP="00C92786">
      <w:pPr>
        <w:pStyle w:val="Paragraphedeliste"/>
        <w:numPr>
          <w:ilvl w:val="0"/>
          <w:numId w:val="9"/>
        </w:numPr>
        <w:jc w:val="both"/>
      </w:pPr>
      <w:r w:rsidRPr="008859DE">
        <w:t>Intégrer les tableaux financiers dans le devis-programme et transmettre les éléments demandés à la DGESS</w:t>
      </w:r>
    </w:p>
    <w:p w14:paraId="40D94DAA" w14:textId="316F349F" w:rsidR="00AB6843" w:rsidRDefault="00AB6843" w:rsidP="00C92786">
      <w:pPr>
        <w:jc w:val="both"/>
      </w:pPr>
    </w:p>
    <w:p w14:paraId="5C0CAF08" w14:textId="70529BC7" w:rsidR="00B03662" w:rsidRPr="00F41227" w:rsidRDefault="00B03662" w:rsidP="00C92786">
      <w:pPr>
        <w:pStyle w:val="Paragraphedeliste"/>
        <w:numPr>
          <w:ilvl w:val="0"/>
          <w:numId w:val="2"/>
        </w:numPr>
        <w:jc w:val="both"/>
        <w:rPr>
          <w:b/>
        </w:rPr>
      </w:pPr>
      <w:r w:rsidRPr="00F41227">
        <w:rPr>
          <w:b/>
        </w:rPr>
        <w:t>Divers</w:t>
      </w:r>
    </w:p>
    <w:p w14:paraId="0A439F50" w14:textId="77777777" w:rsidR="00B03662" w:rsidRDefault="00B03662" w:rsidP="00C92786">
      <w:pPr>
        <w:spacing w:after="0" w:line="259" w:lineRule="auto"/>
        <w:jc w:val="both"/>
      </w:pPr>
    </w:p>
    <w:p w14:paraId="703FE922" w14:textId="78F13474" w:rsidR="00B03662" w:rsidRDefault="00B03662" w:rsidP="00C92786">
      <w:pPr>
        <w:spacing w:after="0" w:line="259" w:lineRule="auto"/>
        <w:jc w:val="both"/>
      </w:pPr>
      <w:r w:rsidRPr="00F41227">
        <w:rPr>
          <w:b/>
          <w:i/>
        </w:rPr>
        <w:t>SG/MEA</w:t>
      </w:r>
      <w:r>
        <w:t xml:space="preserve"> : Le calendrier pour le pilotage des </w:t>
      </w:r>
      <w:r w:rsidR="00F41227">
        <w:t>programmes nationaux (</w:t>
      </w:r>
      <w:r>
        <w:t>PN</w:t>
      </w:r>
      <w:r w:rsidR="00F41227">
        <w:t>)</w:t>
      </w:r>
      <w:r>
        <w:t xml:space="preserve"> a été établi par la DGESS :</w:t>
      </w:r>
    </w:p>
    <w:p w14:paraId="5EDFBED4" w14:textId="6E485C4B" w:rsidR="00B03662" w:rsidRDefault="00B03662" w:rsidP="00C92786">
      <w:pPr>
        <w:pStyle w:val="Paragraphedeliste"/>
        <w:numPr>
          <w:ilvl w:val="3"/>
          <w:numId w:val="10"/>
        </w:numPr>
        <w:spacing w:after="160" w:line="259" w:lineRule="auto"/>
        <w:ind w:left="567"/>
        <w:jc w:val="both"/>
      </w:pPr>
      <w:r>
        <w:t xml:space="preserve">Consolidation des rapports CRP des </w:t>
      </w:r>
      <w:r w:rsidR="00F41227">
        <w:t>treize (</w:t>
      </w:r>
      <w:r>
        <w:t>13</w:t>
      </w:r>
      <w:r w:rsidR="00F41227">
        <w:t>)</w:t>
      </w:r>
      <w:r>
        <w:t xml:space="preserve"> régions</w:t>
      </w:r>
    </w:p>
    <w:p w14:paraId="48A8B723" w14:textId="1AA69E8F" w:rsidR="00B03662" w:rsidRDefault="00B03662" w:rsidP="00C92786">
      <w:pPr>
        <w:pStyle w:val="Paragraphedeliste"/>
        <w:numPr>
          <w:ilvl w:val="3"/>
          <w:numId w:val="10"/>
        </w:numPr>
        <w:spacing w:after="160" w:line="259" w:lineRule="auto"/>
        <w:ind w:left="567"/>
        <w:jc w:val="both"/>
      </w:pPr>
      <w:r>
        <w:t>Puis fixation de la date du comité de revue des projets et programmes (</w:t>
      </w:r>
      <w:r w:rsidR="00F41227">
        <w:t>un (0</w:t>
      </w:r>
      <w:r>
        <w:t>1</w:t>
      </w:r>
      <w:r w:rsidR="00F41227">
        <w:t>)</w:t>
      </w:r>
      <w:r>
        <w:t xml:space="preserve"> comité de revue par programme budgétaire </w:t>
      </w:r>
      <w:r w:rsidR="00F41227">
        <w:t>et</w:t>
      </w:r>
      <w:r>
        <w:t xml:space="preserve"> par PN) </w:t>
      </w:r>
      <w:r w:rsidR="00F41227">
        <w:t>pour la</w:t>
      </w:r>
      <w:r>
        <w:t xml:space="preserve"> présentation du rapport national établi sur la base des rapports régionaux et approbation des rapports et des programmes budgétaires.</w:t>
      </w:r>
    </w:p>
    <w:p w14:paraId="0B8697AE" w14:textId="6BD8FAB3" w:rsidR="00B03662" w:rsidRDefault="00B03662" w:rsidP="00C92786">
      <w:pPr>
        <w:pStyle w:val="Paragraphedeliste"/>
        <w:numPr>
          <w:ilvl w:val="3"/>
          <w:numId w:val="10"/>
        </w:numPr>
        <w:spacing w:after="160" w:line="259" w:lineRule="auto"/>
        <w:ind w:left="567"/>
        <w:jc w:val="both"/>
      </w:pPr>
      <w:r>
        <w:t xml:space="preserve">Les conclusions des </w:t>
      </w:r>
      <w:r w:rsidR="00F41227">
        <w:t>cinq (0</w:t>
      </w:r>
      <w:r>
        <w:t>5</w:t>
      </w:r>
      <w:r w:rsidR="00F41227">
        <w:t>)</w:t>
      </w:r>
      <w:r>
        <w:t xml:space="preserve"> comités de revue alimenteront le Cadre Sectoriel de Dialogue pour le secteur Environnement, Eau et Assainissement (CSD-EEA). </w:t>
      </w:r>
    </w:p>
    <w:p w14:paraId="45759925" w14:textId="77777777" w:rsidR="00B03662" w:rsidRDefault="00B03662" w:rsidP="00C92786">
      <w:pPr>
        <w:jc w:val="both"/>
      </w:pPr>
      <w:r>
        <w:t>Selon la nouvelle façon de procéder au pilotage des Programmes Nationaux, des « Groupes Thématiques Eau et Assainissement », nationaux et régionaux, remplacent les CNP et CRP.</w:t>
      </w:r>
    </w:p>
    <w:p w14:paraId="4B80FD5A" w14:textId="0B730E9B" w:rsidR="00B03662" w:rsidRDefault="00F41227" w:rsidP="00C92786">
      <w:pPr>
        <w:jc w:val="both"/>
      </w:pPr>
      <w:r>
        <w:t>Néanmoins</w:t>
      </w:r>
      <w:r w:rsidR="00B03662">
        <w:t xml:space="preserve">, </w:t>
      </w:r>
      <w:r>
        <w:t xml:space="preserve">monsieur </w:t>
      </w:r>
      <w:r w:rsidR="00B03662">
        <w:t xml:space="preserve">le SG insiste pour </w:t>
      </w:r>
      <w:r>
        <w:t>le maintien de ce cadre technique de discussion et</w:t>
      </w:r>
      <w:r w:rsidR="00B03662">
        <w:t xml:space="preserve"> de suivi du projet, car les autres instances ne seront pas le lieu de débattre des difficultés importantes soulevées dans la mise en œuvre des différents projets. Ces réunions feront donc partie intégrante du dispositif de suivi-évaluation et de pilotage du projet.</w:t>
      </w:r>
    </w:p>
    <w:p w14:paraId="2C2F0CAB" w14:textId="77777777" w:rsidR="00B03662" w:rsidRDefault="00B03662" w:rsidP="00C92786">
      <w:pPr>
        <w:jc w:val="both"/>
      </w:pPr>
    </w:p>
    <w:p w14:paraId="31D0C7B5" w14:textId="77777777" w:rsidR="00472EDA" w:rsidRDefault="00472EDA" w:rsidP="00C92786">
      <w:pPr>
        <w:jc w:val="both"/>
        <w:rPr>
          <w:b/>
        </w:rPr>
      </w:pPr>
    </w:p>
    <w:p w14:paraId="20314FFF" w14:textId="77777777" w:rsidR="00472EDA" w:rsidRDefault="00472EDA" w:rsidP="00C92786">
      <w:pPr>
        <w:jc w:val="both"/>
        <w:rPr>
          <w:b/>
        </w:rPr>
      </w:pPr>
    </w:p>
    <w:p w14:paraId="2D97CDB4" w14:textId="6F12CC3B" w:rsidR="00C92786" w:rsidRDefault="00C92786">
      <w:pPr>
        <w:spacing w:after="160" w:line="259" w:lineRule="auto"/>
        <w:rPr>
          <w:b/>
        </w:rPr>
      </w:pPr>
      <w:r>
        <w:rPr>
          <w:b/>
        </w:rPr>
        <w:br w:type="page"/>
      </w:r>
    </w:p>
    <w:p w14:paraId="24F4A8D2" w14:textId="33BB45F0" w:rsidR="00AB6843" w:rsidRDefault="00AB6843" w:rsidP="00C92786">
      <w:pPr>
        <w:jc w:val="both"/>
        <w:rPr>
          <w:b/>
        </w:rPr>
      </w:pPr>
      <w:r w:rsidRPr="00AB6843">
        <w:rPr>
          <w:b/>
        </w:rPr>
        <w:lastRenderedPageBreak/>
        <w:t>Conclusion</w:t>
      </w:r>
      <w:bookmarkStart w:id="0" w:name="_GoBack"/>
      <w:bookmarkEnd w:id="0"/>
    </w:p>
    <w:p w14:paraId="0FBC1F6F" w14:textId="77777777" w:rsidR="00472EDA" w:rsidRDefault="00472EDA" w:rsidP="00C92786">
      <w:pPr>
        <w:spacing w:after="0"/>
        <w:jc w:val="both"/>
      </w:pPr>
      <w:r>
        <w:t>Dans son mot de clôture, le SG a félicité la DR et l’équipe du projet pour toutes les activités menées jusqu’à maintenant. Il constate avec satisfaction que le rythme d’exécution est bon.</w:t>
      </w:r>
    </w:p>
    <w:p w14:paraId="3F0E9FFE" w14:textId="77777777" w:rsidR="00472EDA" w:rsidRDefault="00472EDA" w:rsidP="00C92786">
      <w:pPr>
        <w:spacing w:after="0"/>
        <w:jc w:val="both"/>
      </w:pPr>
      <w:r>
        <w:t>Il a indiqué être venu pour nous signifier son intérêt pour le projet.</w:t>
      </w:r>
    </w:p>
    <w:p w14:paraId="2F1CB5BB" w14:textId="77777777" w:rsidR="00472EDA" w:rsidRDefault="00472EDA" w:rsidP="00C92786">
      <w:pPr>
        <w:spacing w:after="0"/>
        <w:jc w:val="both"/>
      </w:pPr>
      <w:r>
        <w:t>L’inauguration et la remise des ouvrages aux bénéficiaires sera un évènement important pour la visibilité du projet et du bailleur, à défaut d’avoir pu organiser une cérémonie de lancement.</w:t>
      </w:r>
    </w:p>
    <w:p w14:paraId="7B749455" w14:textId="08078E2F" w:rsidR="00472EDA" w:rsidRDefault="00472EDA" w:rsidP="00C92786">
      <w:pPr>
        <w:spacing w:after="0"/>
        <w:jc w:val="both"/>
      </w:pPr>
      <w:r>
        <w:t>Il adresse une fois de plus ses remerciements au bailleur de fonds (AFD) pour son engagement.</w:t>
      </w:r>
    </w:p>
    <w:p w14:paraId="426B7312" w14:textId="77777777" w:rsidR="00472EDA" w:rsidRDefault="00472EDA" w:rsidP="00C92786">
      <w:pPr>
        <w:spacing w:after="0"/>
        <w:jc w:val="both"/>
      </w:pPr>
      <w:r>
        <w:t>Il adresse ses encouragements à toute l’équipe pour la poursuite des activités et nous invite à poursuivre les réunions techniques de suivi du projet, pour garantir la résolution des difficultés principales et la prise des grandes décisions qui font avancer la mise en œuvre.</w:t>
      </w:r>
    </w:p>
    <w:p w14:paraId="30136A12" w14:textId="77777777" w:rsidR="00AB6843" w:rsidRPr="00AB6843" w:rsidRDefault="00AB6843" w:rsidP="00C92786">
      <w:pPr>
        <w:jc w:val="both"/>
      </w:pPr>
    </w:p>
    <w:p w14:paraId="0184349E" w14:textId="77777777" w:rsidR="00AB6843" w:rsidRPr="008859DE" w:rsidRDefault="00AB6843" w:rsidP="00C92786">
      <w:pPr>
        <w:jc w:val="both"/>
      </w:pPr>
    </w:p>
    <w:p w14:paraId="4001A853" w14:textId="77777777" w:rsidR="008859DE" w:rsidRPr="008859DE" w:rsidRDefault="008859DE" w:rsidP="00C92786">
      <w:pPr>
        <w:spacing w:after="0"/>
        <w:jc w:val="both"/>
        <w:rPr>
          <w:rFonts w:cs="Times New Roman"/>
          <w:u w:val="single"/>
        </w:rPr>
      </w:pPr>
    </w:p>
    <w:sectPr w:rsidR="008859DE" w:rsidRPr="00885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lantagenet Cherokee">
    <w:altName w:val="Plantagenet Cherokee"/>
    <w:charset w:val="00"/>
    <w:family w:val="roman"/>
    <w:pitch w:val="variable"/>
    <w:sig w:usb0="00000003" w:usb1="00000000" w:usb2="00001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E53AF"/>
    <w:multiLevelType w:val="hybridMultilevel"/>
    <w:tmpl w:val="93383186"/>
    <w:lvl w:ilvl="0" w:tplc="B7DE5D7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10D2746"/>
    <w:multiLevelType w:val="hybridMultilevel"/>
    <w:tmpl w:val="9A183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0A44EC"/>
    <w:multiLevelType w:val="hybridMultilevel"/>
    <w:tmpl w:val="04E88926"/>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2A7806"/>
    <w:multiLevelType w:val="hybridMultilevel"/>
    <w:tmpl w:val="C09A75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9E0467"/>
    <w:multiLevelType w:val="hybridMultilevel"/>
    <w:tmpl w:val="5366F7FC"/>
    <w:lvl w:ilvl="0" w:tplc="A186138C">
      <w:start w:val="1"/>
      <w:numFmt w:val="bullet"/>
      <w:lvlText w:val=""/>
      <w:lvlJc w:val="left"/>
      <w:pPr>
        <w:ind w:left="720" w:hanging="360"/>
      </w:pPr>
      <w:rPr>
        <w:rFonts w:ascii="Wingdings" w:hAnsi="Wingdings" w:hint="default"/>
        <w:color w:val="4472C4" w:themeColor="accent1"/>
      </w:rPr>
    </w:lvl>
    <w:lvl w:ilvl="1" w:tplc="040C0003">
      <w:start w:val="1"/>
      <w:numFmt w:val="bullet"/>
      <w:lvlText w:val="o"/>
      <w:lvlJc w:val="left"/>
      <w:pPr>
        <w:ind w:left="1440" w:hanging="360"/>
      </w:pPr>
      <w:rPr>
        <w:rFonts w:ascii="Courier New" w:hAnsi="Courier New" w:cs="Courier New" w:hint="default"/>
      </w:rPr>
    </w:lvl>
    <w:lvl w:ilvl="2" w:tplc="993E6B18">
      <w:start w:val="5"/>
      <w:numFmt w:val="bullet"/>
      <w:lvlText w:val=""/>
      <w:lvlJc w:val="left"/>
      <w:pPr>
        <w:ind w:left="2160" w:hanging="360"/>
      </w:pPr>
      <w:rPr>
        <w:rFonts w:ascii="Wingdings" w:eastAsiaTheme="minorHAnsi" w:hAnsi="Wingdings" w:cstheme="minorBidi" w:hint="default"/>
      </w:rPr>
    </w:lvl>
    <w:lvl w:ilvl="3" w:tplc="0428CEEE">
      <w:start w:val="8"/>
      <w:numFmt w:val="bullet"/>
      <w:lvlText w:val="-"/>
      <w:lvlJc w:val="left"/>
      <w:pPr>
        <w:ind w:left="2880" w:hanging="360"/>
      </w:pPr>
      <w:rPr>
        <w:rFonts w:ascii="Calibri" w:eastAsiaTheme="minorHAns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84366A"/>
    <w:multiLevelType w:val="hybridMultilevel"/>
    <w:tmpl w:val="69348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4F1240"/>
    <w:multiLevelType w:val="hybridMultilevel"/>
    <w:tmpl w:val="50E6F784"/>
    <w:lvl w:ilvl="0" w:tplc="04090003">
      <w:start w:val="1"/>
      <w:numFmt w:val="bullet"/>
      <w:lvlText w:val="o"/>
      <w:lvlJc w:val="left"/>
      <w:pPr>
        <w:ind w:left="1004" w:hanging="360"/>
      </w:pPr>
      <w:rPr>
        <w:rFonts w:ascii="Courier New" w:hAnsi="Courier New" w:cs="Courier New" w:hint="default"/>
      </w:rPr>
    </w:lvl>
    <w:lvl w:ilvl="1" w:tplc="936C2A44">
      <w:numFmt w:val="bullet"/>
      <w:lvlText w:val=""/>
      <w:lvlJc w:val="left"/>
      <w:pPr>
        <w:ind w:left="1724" w:hanging="360"/>
      </w:pPr>
      <w:rPr>
        <w:rFonts w:ascii="Wingdings" w:eastAsiaTheme="minorHAnsi" w:hAnsi="Wingdings" w:cstheme="minorBidi"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5DEC7AC0"/>
    <w:multiLevelType w:val="hybridMultilevel"/>
    <w:tmpl w:val="E9305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921003"/>
    <w:multiLevelType w:val="multilevel"/>
    <w:tmpl w:val="BB1800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B5E4C8A"/>
    <w:multiLevelType w:val="hybridMultilevel"/>
    <w:tmpl w:val="3FAE5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7539EB"/>
    <w:multiLevelType w:val="hybridMultilevel"/>
    <w:tmpl w:val="36B8B930"/>
    <w:lvl w:ilvl="0" w:tplc="D8921BE4">
      <w:start w:val="1"/>
      <w:numFmt w:val="bullet"/>
      <w:lvlText w:val="•"/>
      <w:lvlJc w:val="left"/>
      <w:pPr>
        <w:tabs>
          <w:tab w:val="num" w:pos="720"/>
        </w:tabs>
        <w:ind w:left="720" w:hanging="360"/>
      </w:pPr>
      <w:rPr>
        <w:rFonts w:ascii="Times New Roman" w:hAnsi="Times New Roman" w:hint="default"/>
      </w:rPr>
    </w:lvl>
    <w:lvl w:ilvl="1" w:tplc="3B54714C" w:tentative="1">
      <w:start w:val="1"/>
      <w:numFmt w:val="bullet"/>
      <w:lvlText w:val="•"/>
      <w:lvlJc w:val="left"/>
      <w:pPr>
        <w:tabs>
          <w:tab w:val="num" w:pos="1440"/>
        </w:tabs>
        <w:ind w:left="1440" w:hanging="360"/>
      </w:pPr>
      <w:rPr>
        <w:rFonts w:ascii="Times New Roman" w:hAnsi="Times New Roman" w:hint="default"/>
      </w:rPr>
    </w:lvl>
    <w:lvl w:ilvl="2" w:tplc="01162372" w:tentative="1">
      <w:start w:val="1"/>
      <w:numFmt w:val="bullet"/>
      <w:lvlText w:val="•"/>
      <w:lvlJc w:val="left"/>
      <w:pPr>
        <w:tabs>
          <w:tab w:val="num" w:pos="2160"/>
        </w:tabs>
        <w:ind w:left="2160" w:hanging="360"/>
      </w:pPr>
      <w:rPr>
        <w:rFonts w:ascii="Times New Roman" w:hAnsi="Times New Roman" w:hint="default"/>
      </w:rPr>
    </w:lvl>
    <w:lvl w:ilvl="3" w:tplc="29C0FD66" w:tentative="1">
      <w:start w:val="1"/>
      <w:numFmt w:val="bullet"/>
      <w:lvlText w:val="•"/>
      <w:lvlJc w:val="left"/>
      <w:pPr>
        <w:tabs>
          <w:tab w:val="num" w:pos="2880"/>
        </w:tabs>
        <w:ind w:left="2880" w:hanging="360"/>
      </w:pPr>
      <w:rPr>
        <w:rFonts w:ascii="Times New Roman" w:hAnsi="Times New Roman" w:hint="default"/>
      </w:rPr>
    </w:lvl>
    <w:lvl w:ilvl="4" w:tplc="E05E23DE" w:tentative="1">
      <w:start w:val="1"/>
      <w:numFmt w:val="bullet"/>
      <w:lvlText w:val="•"/>
      <w:lvlJc w:val="left"/>
      <w:pPr>
        <w:tabs>
          <w:tab w:val="num" w:pos="3600"/>
        </w:tabs>
        <w:ind w:left="3600" w:hanging="360"/>
      </w:pPr>
      <w:rPr>
        <w:rFonts w:ascii="Times New Roman" w:hAnsi="Times New Roman" w:hint="default"/>
      </w:rPr>
    </w:lvl>
    <w:lvl w:ilvl="5" w:tplc="4C384DB8" w:tentative="1">
      <w:start w:val="1"/>
      <w:numFmt w:val="bullet"/>
      <w:lvlText w:val="•"/>
      <w:lvlJc w:val="left"/>
      <w:pPr>
        <w:tabs>
          <w:tab w:val="num" w:pos="4320"/>
        </w:tabs>
        <w:ind w:left="4320" w:hanging="360"/>
      </w:pPr>
      <w:rPr>
        <w:rFonts w:ascii="Times New Roman" w:hAnsi="Times New Roman" w:hint="default"/>
      </w:rPr>
    </w:lvl>
    <w:lvl w:ilvl="6" w:tplc="084EEE44" w:tentative="1">
      <w:start w:val="1"/>
      <w:numFmt w:val="bullet"/>
      <w:lvlText w:val="•"/>
      <w:lvlJc w:val="left"/>
      <w:pPr>
        <w:tabs>
          <w:tab w:val="num" w:pos="5040"/>
        </w:tabs>
        <w:ind w:left="5040" w:hanging="360"/>
      </w:pPr>
      <w:rPr>
        <w:rFonts w:ascii="Times New Roman" w:hAnsi="Times New Roman" w:hint="default"/>
      </w:rPr>
    </w:lvl>
    <w:lvl w:ilvl="7" w:tplc="696CB9DE" w:tentative="1">
      <w:start w:val="1"/>
      <w:numFmt w:val="bullet"/>
      <w:lvlText w:val="•"/>
      <w:lvlJc w:val="left"/>
      <w:pPr>
        <w:tabs>
          <w:tab w:val="num" w:pos="5760"/>
        </w:tabs>
        <w:ind w:left="5760" w:hanging="360"/>
      </w:pPr>
      <w:rPr>
        <w:rFonts w:ascii="Times New Roman" w:hAnsi="Times New Roman" w:hint="default"/>
      </w:rPr>
    </w:lvl>
    <w:lvl w:ilvl="8" w:tplc="17A216E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8"/>
  </w:num>
  <w:num w:numId="3">
    <w:abstractNumId w:val="7"/>
  </w:num>
  <w:num w:numId="4">
    <w:abstractNumId w:val="9"/>
  </w:num>
  <w:num w:numId="5">
    <w:abstractNumId w:val="10"/>
  </w:num>
  <w:num w:numId="6">
    <w:abstractNumId w:val="2"/>
  </w:num>
  <w:num w:numId="7">
    <w:abstractNumId w:val="3"/>
  </w:num>
  <w:num w:numId="8">
    <w:abstractNumId w:val="5"/>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A6"/>
    <w:rsid w:val="00091E0B"/>
    <w:rsid w:val="00163AFF"/>
    <w:rsid w:val="001926A2"/>
    <w:rsid w:val="001E28A6"/>
    <w:rsid w:val="00267E8C"/>
    <w:rsid w:val="002F01D3"/>
    <w:rsid w:val="003052FE"/>
    <w:rsid w:val="00336A0A"/>
    <w:rsid w:val="00344857"/>
    <w:rsid w:val="003A7D6B"/>
    <w:rsid w:val="004274E5"/>
    <w:rsid w:val="00433905"/>
    <w:rsid w:val="00446276"/>
    <w:rsid w:val="00472EDA"/>
    <w:rsid w:val="004B3DB9"/>
    <w:rsid w:val="00574297"/>
    <w:rsid w:val="005A0E9C"/>
    <w:rsid w:val="005B0BCB"/>
    <w:rsid w:val="0073542D"/>
    <w:rsid w:val="00750DAB"/>
    <w:rsid w:val="0076693B"/>
    <w:rsid w:val="007964DA"/>
    <w:rsid w:val="007C616A"/>
    <w:rsid w:val="00815FB2"/>
    <w:rsid w:val="00854442"/>
    <w:rsid w:val="00885287"/>
    <w:rsid w:val="008859DE"/>
    <w:rsid w:val="008A1483"/>
    <w:rsid w:val="008D7365"/>
    <w:rsid w:val="008F5403"/>
    <w:rsid w:val="0092432A"/>
    <w:rsid w:val="00960A80"/>
    <w:rsid w:val="009F39FA"/>
    <w:rsid w:val="00A9321C"/>
    <w:rsid w:val="00AA3DC1"/>
    <w:rsid w:val="00AB6843"/>
    <w:rsid w:val="00AD2794"/>
    <w:rsid w:val="00AF7776"/>
    <w:rsid w:val="00B03662"/>
    <w:rsid w:val="00B151FA"/>
    <w:rsid w:val="00B71A3B"/>
    <w:rsid w:val="00B768E2"/>
    <w:rsid w:val="00B76ACB"/>
    <w:rsid w:val="00BE15BF"/>
    <w:rsid w:val="00BE478C"/>
    <w:rsid w:val="00C92786"/>
    <w:rsid w:val="00CB73E7"/>
    <w:rsid w:val="00CE357B"/>
    <w:rsid w:val="00D844F3"/>
    <w:rsid w:val="00DF1241"/>
    <w:rsid w:val="00DF71F0"/>
    <w:rsid w:val="00E82CB7"/>
    <w:rsid w:val="00EE318C"/>
    <w:rsid w:val="00F41227"/>
    <w:rsid w:val="00F527C3"/>
    <w:rsid w:val="00FA792C"/>
    <w:rsid w:val="00FF3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AD7B"/>
  <w15:chartTrackingRefBased/>
  <w15:docId w15:val="{897DF8E2-C5E0-4490-B185-9EA8C589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8A6"/>
    <w:pPr>
      <w:spacing w:after="200" w:line="276" w:lineRule="auto"/>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etableauclaire">
    <w:name w:val="Grid Table Light"/>
    <w:basedOn w:val="TableauNormal"/>
    <w:uiPriority w:val="40"/>
    <w:rsid w:val="001E28A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aragraphedeliste">
    <w:name w:val="List Paragraph"/>
    <w:basedOn w:val="Normal"/>
    <w:uiPriority w:val="34"/>
    <w:qFormat/>
    <w:rsid w:val="00F52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12259">
      <w:bodyDiv w:val="1"/>
      <w:marLeft w:val="0"/>
      <w:marRight w:val="0"/>
      <w:marTop w:val="0"/>
      <w:marBottom w:val="0"/>
      <w:divBdr>
        <w:top w:val="none" w:sz="0" w:space="0" w:color="auto"/>
        <w:left w:val="none" w:sz="0" w:space="0" w:color="auto"/>
        <w:bottom w:val="none" w:sz="0" w:space="0" w:color="auto"/>
        <w:right w:val="none" w:sz="0" w:space="0" w:color="auto"/>
      </w:divBdr>
      <w:divsChild>
        <w:div w:id="2131393722">
          <w:marLeft w:val="547"/>
          <w:marRight w:val="0"/>
          <w:marTop w:val="154"/>
          <w:marBottom w:val="0"/>
          <w:divBdr>
            <w:top w:val="none" w:sz="0" w:space="0" w:color="auto"/>
            <w:left w:val="none" w:sz="0" w:space="0" w:color="auto"/>
            <w:bottom w:val="none" w:sz="0" w:space="0" w:color="auto"/>
            <w:right w:val="none" w:sz="0" w:space="0" w:color="auto"/>
          </w:divBdr>
        </w:div>
        <w:div w:id="239103706">
          <w:marLeft w:val="547"/>
          <w:marRight w:val="0"/>
          <w:marTop w:val="154"/>
          <w:marBottom w:val="0"/>
          <w:divBdr>
            <w:top w:val="none" w:sz="0" w:space="0" w:color="auto"/>
            <w:left w:val="none" w:sz="0" w:space="0" w:color="auto"/>
            <w:bottom w:val="none" w:sz="0" w:space="0" w:color="auto"/>
            <w:right w:val="none" w:sz="0" w:space="0" w:color="auto"/>
          </w:divBdr>
        </w:div>
        <w:div w:id="272910051">
          <w:marLeft w:val="547"/>
          <w:marRight w:val="0"/>
          <w:marTop w:val="154"/>
          <w:marBottom w:val="0"/>
          <w:divBdr>
            <w:top w:val="none" w:sz="0" w:space="0" w:color="auto"/>
            <w:left w:val="none" w:sz="0" w:space="0" w:color="auto"/>
            <w:bottom w:val="none" w:sz="0" w:space="0" w:color="auto"/>
            <w:right w:val="none" w:sz="0" w:space="0" w:color="auto"/>
          </w:divBdr>
        </w:div>
        <w:div w:id="10806392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1824</Words>
  <Characters>10033</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 Christian DIANDA</dc:creator>
  <cp:keywords/>
  <dc:description/>
  <cp:lastModifiedBy>OUALI Yempabou</cp:lastModifiedBy>
  <cp:revision>3</cp:revision>
  <dcterms:created xsi:type="dcterms:W3CDTF">2018-07-23T14:07:00Z</dcterms:created>
  <dcterms:modified xsi:type="dcterms:W3CDTF">2018-07-23T14:33:00Z</dcterms:modified>
</cp:coreProperties>
</file>